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A1160" w14:textId="77777777" w:rsidR="00CD1B39" w:rsidRPr="00AC1E74" w:rsidRDefault="00CD1B39" w:rsidP="003D5F4D">
      <w:pPr>
        <w:jc w:val="both"/>
        <w:rPr>
          <w:rFonts w:asciiTheme="majorHAnsi" w:eastAsiaTheme="minorHAnsi" w:hAnsiTheme="majorHAnsi" w:cs="Arial"/>
          <w:color w:val="auto"/>
          <w:szCs w:val="22"/>
          <w:lang w:val="en-IN"/>
        </w:rPr>
      </w:pPr>
    </w:p>
    <w:p w14:paraId="4FA947EC" w14:textId="77777777" w:rsidR="003D5F4D" w:rsidRDefault="003D5F4D" w:rsidP="003D5F4D">
      <w:pPr>
        <w:spacing w:before="29"/>
        <w:ind w:right="55"/>
        <w:jc w:val="center"/>
        <w:rPr>
          <w:rFonts w:ascii="Cambria" w:hAnsi="Cambria" w:cs="Arial-BoldMT"/>
          <w:b/>
          <w:bCs/>
          <w:color w:val="auto"/>
          <w:szCs w:val="22"/>
          <w:lang w:eastAsia="x-none"/>
        </w:rPr>
      </w:pPr>
      <w:r>
        <w:rPr>
          <w:rFonts w:ascii="Cambria" w:hAnsi="Cambria" w:cs="Arial-BoldMT"/>
          <w:b/>
          <w:bCs/>
          <w:color w:val="auto"/>
          <w:szCs w:val="22"/>
          <w:lang w:eastAsia="x-none"/>
        </w:rPr>
        <w:t xml:space="preserve">GLOBAL </w:t>
      </w:r>
      <w:r w:rsidRPr="009813FD">
        <w:rPr>
          <w:rFonts w:ascii="Cambria" w:hAnsi="Cambria" w:cs="Arial-BoldMT"/>
          <w:b/>
          <w:bCs/>
          <w:color w:val="auto"/>
          <w:szCs w:val="22"/>
          <w:lang w:eastAsia="x-none"/>
        </w:rPr>
        <w:t xml:space="preserve">EXPRESSION OF INTEREST (EoI) </w:t>
      </w:r>
      <w:r w:rsidRPr="005C02EB">
        <w:rPr>
          <w:rFonts w:ascii="Cambria" w:hAnsi="Cambria" w:cs="Arial-BoldMT"/>
          <w:b/>
          <w:bCs/>
          <w:color w:val="auto"/>
          <w:szCs w:val="22"/>
        </w:rPr>
        <w:t>UNDER INTERNATIONAL COMPET</w:t>
      </w:r>
      <w:r>
        <w:rPr>
          <w:rFonts w:ascii="Cambria" w:hAnsi="Cambria" w:cs="Arial-BoldMT"/>
          <w:b/>
          <w:bCs/>
          <w:color w:val="auto"/>
          <w:szCs w:val="22"/>
        </w:rPr>
        <w:t>E</w:t>
      </w:r>
      <w:r w:rsidRPr="005C02EB">
        <w:rPr>
          <w:rFonts w:ascii="Cambria" w:hAnsi="Cambria" w:cs="Arial-BoldMT"/>
          <w:b/>
          <w:bCs/>
          <w:color w:val="auto"/>
          <w:szCs w:val="22"/>
        </w:rPr>
        <w:t xml:space="preserve">TIVE BIDDING (ICB) BASIS </w:t>
      </w:r>
      <w:r w:rsidRPr="00464D77">
        <w:rPr>
          <w:rFonts w:ascii="Cambria" w:hAnsi="Cambria" w:cs="Arial-BoldMT"/>
          <w:b/>
          <w:bCs/>
          <w:color w:val="auto"/>
          <w:szCs w:val="22"/>
          <w:lang w:eastAsia="x-none"/>
        </w:rPr>
        <w:t xml:space="preserve">FOR </w:t>
      </w:r>
      <w:r w:rsidRPr="00464D77">
        <w:rPr>
          <w:rFonts w:ascii="Cambria" w:hAnsi="Cambria" w:cs="Arial"/>
          <w:b/>
          <w:color w:val="000000" w:themeColor="text1"/>
          <w:szCs w:val="22"/>
        </w:rPr>
        <w:t xml:space="preserve">PROVISION OF INTEGRATED </w:t>
      </w:r>
      <w:r>
        <w:rPr>
          <w:rFonts w:ascii="Cambria" w:hAnsi="Cambria" w:cs="Arial"/>
          <w:b/>
          <w:bCs/>
          <w:color w:val="000000"/>
          <w:szCs w:val="22"/>
        </w:rPr>
        <w:t>PETROLEUM ENGINEERING</w:t>
      </w:r>
      <w:r w:rsidRPr="00464D77">
        <w:rPr>
          <w:rFonts w:ascii="Cambria" w:hAnsi="Cambria" w:cs="Arial"/>
          <w:b/>
          <w:bCs/>
          <w:color w:val="000000"/>
          <w:szCs w:val="22"/>
        </w:rPr>
        <w:t xml:space="preserve"> SERVICES </w:t>
      </w:r>
      <w:r w:rsidRPr="00464D77">
        <w:rPr>
          <w:rFonts w:ascii="Cambria" w:hAnsi="Cambria" w:cs="Arial-BoldMT"/>
          <w:b/>
          <w:bCs/>
          <w:color w:val="auto"/>
          <w:szCs w:val="22"/>
          <w:lang w:eastAsia="x-none"/>
        </w:rPr>
        <w:t xml:space="preserve">FOR </w:t>
      </w:r>
      <w:r>
        <w:rPr>
          <w:rFonts w:ascii="Cambria" w:hAnsi="Cambria" w:cs="Arial-BoldMT"/>
          <w:b/>
          <w:bCs/>
          <w:color w:val="auto"/>
          <w:szCs w:val="22"/>
          <w:lang w:eastAsia="x-none"/>
        </w:rPr>
        <w:t>RAJASTHAN</w:t>
      </w:r>
      <w:r w:rsidRPr="00464D77">
        <w:rPr>
          <w:rFonts w:ascii="Cambria" w:hAnsi="Cambria" w:cs="Arial-BoldMT"/>
          <w:b/>
          <w:bCs/>
          <w:color w:val="auto"/>
          <w:szCs w:val="22"/>
          <w:lang w:eastAsia="x-none"/>
        </w:rPr>
        <w:t xml:space="preserve"> BLOCK</w:t>
      </w:r>
      <w:r>
        <w:rPr>
          <w:rFonts w:ascii="Cambria" w:hAnsi="Cambria" w:cs="Arial-BoldMT"/>
          <w:b/>
          <w:bCs/>
          <w:color w:val="auto"/>
          <w:szCs w:val="22"/>
          <w:lang w:eastAsia="x-none"/>
        </w:rPr>
        <w:t>:</w:t>
      </w:r>
      <w:r w:rsidRPr="00464D77">
        <w:rPr>
          <w:rFonts w:ascii="Cambria" w:hAnsi="Cambria" w:cs="Arial-BoldMT"/>
          <w:b/>
          <w:bCs/>
          <w:color w:val="auto"/>
          <w:szCs w:val="22"/>
          <w:lang w:eastAsia="x-none"/>
        </w:rPr>
        <w:t xml:space="preserve"> </w:t>
      </w:r>
    </w:p>
    <w:p w14:paraId="2C38FD7B" w14:textId="77777777" w:rsidR="003D5F4D" w:rsidRPr="00C3059D" w:rsidRDefault="003D5F4D" w:rsidP="003D5F4D">
      <w:pPr>
        <w:spacing w:before="29"/>
        <w:ind w:right="55"/>
        <w:jc w:val="center"/>
        <w:rPr>
          <w:rFonts w:ascii="Cambria" w:hAnsi="Cambria" w:cs="Arial-BoldMT"/>
          <w:b/>
          <w:bCs/>
          <w:color w:val="auto"/>
          <w:szCs w:val="22"/>
          <w:lang w:val="en-US" w:eastAsia="x-none"/>
        </w:rPr>
      </w:pPr>
      <w:r w:rsidRPr="00C3059D">
        <w:rPr>
          <w:rFonts w:ascii="Cambria" w:hAnsi="Cambria" w:cs="Arial-BoldMT"/>
          <w:b/>
          <w:bCs/>
          <w:color w:val="auto"/>
          <w:szCs w:val="22"/>
          <w:lang w:val="en-US" w:eastAsia="x-none"/>
        </w:rPr>
        <w:t>RJ-ON-90/1</w:t>
      </w:r>
    </w:p>
    <w:p w14:paraId="21611BDF" w14:textId="77777777" w:rsidR="003D5F4D" w:rsidRPr="00464D77" w:rsidRDefault="003D5F4D" w:rsidP="003D5F4D">
      <w:pPr>
        <w:spacing w:before="29"/>
        <w:ind w:right="55"/>
        <w:jc w:val="center"/>
        <w:rPr>
          <w:rFonts w:ascii="Cambria" w:hAnsi="Cambria" w:cs="Arial-BoldMT"/>
          <w:b/>
          <w:bCs/>
          <w:color w:val="auto"/>
          <w:szCs w:val="22"/>
          <w:lang w:eastAsia="x-none"/>
        </w:rPr>
      </w:pPr>
    </w:p>
    <w:p w14:paraId="2576F8BB" w14:textId="77777777" w:rsidR="003D5F4D" w:rsidRPr="004954FC" w:rsidRDefault="003D5F4D" w:rsidP="003D5F4D">
      <w:pPr>
        <w:tabs>
          <w:tab w:val="left" w:pos="-270"/>
        </w:tabs>
        <w:ind w:left="-180" w:right="-360"/>
        <w:jc w:val="center"/>
        <w:rPr>
          <w:rFonts w:ascii="Arial" w:hAnsi="Arial" w:cs="Arial"/>
          <w:b/>
          <w:bCs/>
          <w:color w:val="000000" w:themeColor="text1"/>
          <w:szCs w:val="22"/>
        </w:rPr>
      </w:pPr>
    </w:p>
    <w:p w14:paraId="6030D2AE" w14:textId="77777777" w:rsidR="003D5F4D" w:rsidRPr="009C6A06" w:rsidRDefault="003D5F4D" w:rsidP="003D5F4D">
      <w:pPr>
        <w:autoSpaceDE w:val="0"/>
        <w:autoSpaceDN w:val="0"/>
        <w:adjustRightInd w:val="0"/>
        <w:jc w:val="both"/>
        <w:rPr>
          <w:rFonts w:ascii="Cambria" w:hAnsi="Cambria" w:cs="Arial"/>
          <w:color w:val="000000" w:themeColor="text1"/>
          <w:szCs w:val="22"/>
          <w:lang w:val="en-US"/>
        </w:rPr>
      </w:pPr>
      <w:r w:rsidRPr="00464D77">
        <w:rPr>
          <w:rFonts w:ascii="Cambria" w:hAnsi="Cambria" w:cs="Arial"/>
          <w:b/>
          <w:color w:val="000000" w:themeColor="text1"/>
          <w:szCs w:val="22"/>
        </w:rPr>
        <w:t>Cairn Oil and Gas</w:t>
      </w:r>
      <w:r w:rsidRPr="00464D77">
        <w:rPr>
          <w:rFonts w:ascii="Cambria" w:hAnsi="Cambria" w:cs="Arial"/>
          <w:color w:val="000000" w:themeColor="text1"/>
          <w:szCs w:val="22"/>
        </w:rPr>
        <w:t xml:space="preserve">, </w:t>
      </w:r>
      <w:r w:rsidRPr="00464D77">
        <w:rPr>
          <w:rFonts w:ascii="Cambria" w:hAnsi="Cambria" w:cs="Arial"/>
          <w:b/>
          <w:color w:val="000000" w:themeColor="text1"/>
          <w:szCs w:val="22"/>
        </w:rPr>
        <w:t>Vedanta Limited</w:t>
      </w:r>
      <w:r w:rsidRPr="00464D77">
        <w:rPr>
          <w:rFonts w:ascii="Cambria" w:hAnsi="Cambria" w:cs="Arial"/>
          <w:color w:val="000000" w:themeColor="text1"/>
          <w:szCs w:val="22"/>
        </w:rPr>
        <w:t xml:space="preserve"> </w:t>
      </w:r>
      <w:r>
        <w:rPr>
          <w:rFonts w:ascii="Cambria" w:hAnsi="Cambria" w:cs="Arial"/>
          <w:color w:val="000000" w:themeColor="text1"/>
          <w:szCs w:val="22"/>
        </w:rPr>
        <w:t xml:space="preserve"> </w:t>
      </w:r>
      <w:r w:rsidRPr="004512A4">
        <w:rPr>
          <w:rFonts w:ascii="Cambria" w:hAnsi="Cambria" w:cs="Calibri"/>
          <w:color w:val="auto"/>
          <w:szCs w:val="22"/>
        </w:rPr>
        <w:t>(“VL”)</w:t>
      </w:r>
      <w:r w:rsidRPr="005C02EB">
        <w:rPr>
          <w:rFonts w:ascii="Cambria" w:hAnsi="Cambria" w:cs="Calibri"/>
          <w:color w:val="auto"/>
          <w:szCs w:val="22"/>
        </w:rPr>
        <w:t xml:space="preserve">, </w:t>
      </w:r>
      <w:r w:rsidRPr="00464D77">
        <w:rPr>
          <w:rFonts w:ascii="Cambria" w:hAnsi="Cambria" w:cs="Arial"/>
          <w:color w:val="000000" w:themeColor="text1"/>
          <w:szCs w:val="22"/>
        </w:rPr>
        <w:t xml:space="preserve">is the Operator on behalf of itself and Joint Venture (JV) partners Oil &amp; Natural Gas Corporation (ONGC) Ltd., of the </w:t>
      </w:r>
      <w:r>
        <w:rPr>
          <w:rFonts w:ascii="Cambria" w:hAnsi="Cambria" w:cs="Arial"/>
          <w:color w:val="000000" w:themeColor="text1"/>
          <w:szCs w:val="22"/>
        </w:rPr>
        <w:t>RJ-ON-90/1</w:t>
      </w:r>
      <w:r w:rsidRPr="00464D77">
        <w:rPr>
          <w:rFonts w:ascii="Cambria" w:hAnsi="Cambria" w:cs="Arial"/>
          <w:color w:val="000000" w:themeColor="text1"/>
          <w:szCs w:val="22"/>
        </w:rPr>
        <w:t xml:space="preserve"> block located in  the state of </w:t>
      </w:r>
      <w:r>
        <w:rPr>
          <w:rFonts w:ascii="Cambria" w:hAnsi="Cambria" w:cs="Arial"/>
          <w:color w:val="000000" w:themeColor="text1"/>
          <w:szCs w:val="22"/>
        </w:rPr>
        <w:t>Rajasthan</w:t>
      </w:r>
      <w:r w:rsidRPr="00464D77">
        <w:rPr>
          <w:rFonts w:ascii="Cambria" w:hAnsi="Cambria" w:cs="Arial"/>
          <w:color w:val="000000" w:themeColor="text1"/>
          <w:szCs w:val="22"/>
        </w:rPr>
        <w:t xml:space="preserve">, India. </w:t>
      </w:r>
      <w:r w:rsidRPr="009C6A06">
        <w:rPr>
          <w:rFonts w:ascii="Cambria" w:hAnsi="Cambria" w:cs="Arial"/>
          <w:color w:val="000000" w:themeColor="text1"/>
          <w:szCs w:val="22"/>
          <w:lang w:val="en-US"/>
        </w:rPr>
        <w:t>The block is spread over 3,111 km</w:t>
      </w:r>
      <w:r w:rsidRPr="009C6A06">
        <w:rPr>
          <w:rFonts w:ascii="Cambria" w:hAnsi="Cambria" w:cs="Arial"/>
          <w:color w:val="000000" w:themeColor="text1"/>
          <w:szCs w:val="22"/>
          <w:vertAlign w:val="superscript"/>
          <w:lang w:val="en-US"/>
        </w:rPr>
        <w:t>2</w:t>
      </w:r>
      <w:r w:rsidRPr="009C6A06">
        <w:rPr>
          <w:rFonts w:ascii="Cambria" w:hAnsi="Cambria" w:cs="Arial"/>
          <w:color w:val="000000" w:themeColor="text1"/>
          <w:szCs w:val="22"/>
          <w:lang w:val="en-US"/>
        </w:rPr>
        <w:t xml:space="preserve"> in Rajasthan’s Barmer district. It consists of two main areas namely Northern Development Area and Southern Development Area.</w:t>
      </w:r>
    </w:p>
    <w:p w14:paraId="4C0F589E" w14:textId="77777777" w:rsidR="003D5F4D" w:rsidRPr="00464D77" w:rsidRDefault="003D5F4D" w:rsidP="003D5F4D">
      <w:pPr>
        <w:autoSpaceDE w:val="0"/>
        <w:autoSpaceDN w:val="0"/>
        <w:adjustRightInd w:val="0"/>
        <w:jc w:val="both"/>
        <w:rPr>
          <w:rFonts w:ascii="Cambria" w:hAnsi="Cambria" w:cs="Arial"/>
          <w:color w:val="000000" w:themeColor="text1"/>
          <w:szCs w:val="22"/>
        </w:rPr>
      </w:pPr>
    </w:p>
    <w:p w14:paraId="03C78576" w14:textId="77777777" w:rsidR="003D5F4D" w:rsidRDefault="003D5F4D" w:rsidP="003D5F4D">
      <w:pPr>
        <w:spacing w:before="29"/>
        <w:ind w:right="55"/>
        <w:jc w:val="both"/>
        <w:rPr>
          <w:rFonts w:ascii="Cambria" w:hAnsi="Cambria" w:cs="Arial"/>
          <w:color w:val="000000" w:themeColor="text1"/>
          <w:szCs w:val="22"/>
          <w:lang w:val="en-US"/>
        </w:rPr>
      </w:pPr>
      <w:r w:rsidRPr="002B473A">
        <w:rPr>
          <w:rFonts w:ascii="Cambria" w:hAnsi="Cambria" w:cs="Arial"/>
          <w:color w:val="000000" w:themeColor="text1"/>
          <w:szCs w:val="22"/>
          <w:lang w:val="en-US"/>
        </w:rPr>
        <w:t xml:space="preserve">The block has </w:t>
      </w:r>
      <w:r w:rsidRPr="002B473A">
        <w:rPr>
          <w:rFonts w:ascii="Cambria" w:hAnsi="Cambria" w:cs="Arial"/>
          <w:b/>
          <w:bCs/>
          <w:color w:val="000000" w:themeColor="text1"/>
          <w:szCs w:val="22"/>
          <w:lang w:val="en-US"/>
        </w:rPr>
        <w:t>650+ oil wells</w:t>
      </w:r>
      <w:r w:rsidRPr="002B473A">
        <w:rPr>
          <w:rFonts w:ascii="Cambria" w:hAnsi="Cambria" w:cs="Arial"/>
          <w:color w:val="000000" w:themeColor="text1"/>
          <w:szCs w:val="22"/>
          <w:lang w:val="en-US"/>
        </w:rPr>
        <w:t xml:space="preserve">, with the largest fields being </w:t>
      </w:r>
      <w:r w:rsidRPr="002B473A">
        <w:rPr>
          <w:rFonts w:ascii="Cambria" w:hAnsi="Cambria" w:cs="Arial"/>
          <w:b/>
          <w:bCs/>
          <w:color w:val="000000" w:themeColor="text1"/>
          <w:szCs w:val="22"/>
          <w:lang w:val="en-US"/>
        </w:rPr>
        <w:t xml:space="preserve">Mangala, Bhagyam and Aishwarya. </w:t>
      </w:r>
      <w:r>
        <w:rPr>
          <w:rFonts w:ascii="Cambria" w:hAnsi="Cambria" w:cs="Arial"/>
          <w:color w:val="000000" w:themeColor="text1"/>
          <w:szCs w:val="22"/>
          <w:lang w:val="en-US"/>
        </w:rPr>
        <w:t>Th</w:t>
      </w:r>
      <w:r w:rsidRPr="007446EC">
        <w:rPr>
          <w:rFonts w:ascii="Cambria" w:hAnsi="Cambria" w:cs="Arial"/>
          <w:color w:val="000000" w:themeColor="text1"/>
          <w:szCs w:val="22"/>
          <w:lang w:val="en-US"/>
        </w:rPr>
        <w:t xml:space="preserve">ere are currently </w:t>
      </w:r>
      <w:r w:rsidRPr="002F1A9F">
        <w:rPr>
          <w:rFonts w:ascii="Cambria" w:hAnsi="Cambria" w:cs="Arial"/>
          <w:color w:val="000000" w:themeColor="text1"/>
          <w:szCs w:val="22"/>
          <w:lang w:val="en-US"/>
        </w:rPr>
        <w:t>30 gas wells, with expansion plans into 42 new wells which is ongoing plus additional 27+ infill wells in RDG field.</w:t>
      </w:r>
      <w:r w:rsidRPr="007446EC">
        <w:rPr>
          <w:rFonts w:ascii="Cambria" w:hAnsi="Cambria" w:cs="Arial"/>
          <w:color w:val="000000" w:themeColor="text1"/>
          <w:szCs w:val="22"/>
          <w:lang w:val="en-US"/>
        </w:rPr>
        <w:t xml:space="preserve"> There are other satellite fields including </w:t>
      </w:r>
      <w:r>
        <w:rPr>
          <w:rFonts w:ascii="Cambria" w:hAnsi="Cambria" w:cs="Arial"/>
          <w:color w:val="000000" w:themeColor="text1"/>
          <w:szCs w:val="22"/>
          <w:lang w:val="en-US"/>
        </w:rPr>
        <w:t xml:space="preserve">Raag Oil, </w:t>
      </w:r>
      <w:r w:rsidRPr="007446EC">
        <w:rPr>
          <w:rFonts w:ascii="Cambria" w:hAnsi="Cambria" w:cs="Arial"/>
          <w:color w:val="000000" w:themeColor="text1"/>
          <w:szCs w:val="22"/>
          <w:lang w:val="en-US"/>
        </w:rPr>
        <w:t>Saraswati, Guda, Tukaram, Shakthi, NI-NE and KW</w:t>
      </w:r>
      <w:r>
        <w:rPr>
          <w:rFonts w:ascii="Cambria" w:hAnsi="Cambria" w:cs="Arial"/>
          <w:color w:val="000000" w:themeColor="text1"/>
          <w:szCs w:val="22"/>
          <w:lang w:val="en-US"/>
        </w:rPr>
        <w:t>-2</w:t>
      </w:r>
      <w:r w:rsidRPr="007446EC">
        <w:rPr>
          <w:rFonts w:ascii="Cambria" w:hAnsi="Cambria" w:cs="Arial"/>
          <w:color w:val="000000" w:themeColor="text1"/>
          <w:szCs w:val="22"/>
          <w:lang w:val="en-US"/>
        </w:rPr>
        <w:t>.</w:t>
      </w:r>
      <w:r>
        <w:rPr>
          <w:rFonts w:ascii="Cambria" w:hAnsi="Cambria" w:cs="Arial"/>
          <w:color w:val="000000" w:themeColor="text1"/>
          <w:szCs w:val="22"/>
          <w:lang w:val="en-US"/>
        </w:rPr>
        <w:t xml:space="preserve"> Further, Satellite fields development is ongoing which will lead to new fields like NL, Raag South, GSV, Kaam-1, KW-3, KW-6 and additional wells in the existing fields.</w:t>
      </w:r>
    </w:p>
    <w:p w14:paraId="1857AE1A" w14:textId="77777777" w:rsidR="003D5F4D" w:rsidRPr="007446EC" w:rsidRDefault="003D5F4D" w:rsidP="003D5F4D">
      <w:pPr>
        <w:spacing w:before="29"/>
        <w:ind w:right="55"/>
        <w:jc w:val="both"/>
        <w:rPr>
          <w:rFonts w:ascii="Cambria" w:hAnsi="Cambria" w:cs="Arial"/>
          <w:color w:val="000000" w:themeColor="text1"/>
          <w:szCs w:val="22"/>
          <w:lang w:val="en-US"/>
        </w:rPr>
      </w:pPr>
    </w:p>
    <w:p w14:paraId="76BED1B1" w14:textId="77777777" w:rsidR="003D5F4D" w:rsidRPr="007446EC" w:rsidRDefault="003D5F4D" w:rsidP="003D5F4D">
      <w:pPr>
        <w:spacing w:before="29"/>
        <w:ind w:right="55"/>
        <w:jc w:val="both"/>
        <w:rPr>
          <w:rFonts w:ascii="Cambria" w:hAnsi="Cambria" w:cs="Arial"/>
          <w:color w:val="000000" w:themeColor="text1"/>
          <w:szCs w:val="22"/>
          <w:lang w:val="en-US"/>
        </w:rPr>
      </w:pPr>
      <w:r w:rsidRPr="00AE6CA2">
        <w:rPr>
          <w:rFonts w:ascii="Cambria" w:hAnsi="Cambria" w:cs="Arial"/>
          <w:color w:val="000000" w:themeColor="text1"/>
          <w:szCs w:val="22"/>
          <w:lang w:val="en-US"/>
        </w:rPr>
        <w:t xml:space="preserve">The Rajasthan block has a total production of </w:t>
      </w:r>
      <w:r w:rsidRPr="00AE6CA2">
        <w:rPr>
          <w:rFonts w:ascii="Cambria" w:hAnsi="Cambria" w:cs="Arial"/>
          <w:b/>
          <w:bCs/>
          <w:color w:val="000000" w:themeColor="text1"/>
          <w:szCs w:val="22"/>
          <w:lang w:val="en-US"/>
        </w:rPr>
        <w:t>175 Kboepd</w:t>
      </w:r>
      <w:r>
        <w:rPr>
          <w:rFonts w:ascii="Cambria" w:hAnsi="Cambria" w:cs="Arial"/>
          <w:b/>
          <w:bCs/>
          <w:color w:val="000000" w:themeColor="text1"/>
          <w:szCs w:val="22"/>
          <w:lang w:val="en-US"/>
        </w:rPr>
        <w:t xml:space="preserve"> </w:t>
      </w:r>
      <w:r>
        <w:rPr>
          <w:rFonts w:ascii="Cambria" w:hAnsi="Cambria" w:cs="Arial"/>
          <w:color w:val="000000" w:themeColor="text1"/>
          <w:szCs w:val="22"/>
          <w:lang w:val="en-US"/>
        </w:rPr>
        <w:t>with growth plans to expand</w:t>
      </w:r>
      <w:r w:rsidRPr="00AE6CA2">
        <w:rPr>
          <w:rFonts w:ascii="Cambria" w:hAnsi="Cambria" w:cs="Arial"/>
          <w:color w:val="000000" w:themeColor="text1"/>
          <w:szCs w:val="22"/>
          <w:lang w:val="en-US"/>
        </w:rPr>
        <w:t xml:space="preserve">, and a processing capacity of </w:t>
      </w:r>
      <w:r w:rsidRPr="00AE6CA2">
        <w:rPr>
          <w:rFonts w:ascii="Cambria" w:hAnsi="Cambria" w:cs="Arial"/>
          <w:b/>
          <w:bCs/>
          <w:color w:val="000000" w:themeColor="text1"/>
          <w:szCs w:val="22"/>
          <w:lang w:val="en-US"/>
        </w:rPr>
        <w:t>1.1 MMbbls fluid per day for oil and 51 Kboepd for gas</w:t>
      </w:r>
      <w:r w:rsidRPr="00AE6CA2">
        <w:rPr>
          <w:rFonts w:ascii="Cambria" w:hAnsi="Cambria" w:cs="Arial"/>
          <w:color w:val="000000" w:themeColor="text1"/>
          <w:szCs w:val="22"/>
          <w:lang w:val="en-US"/>
        </w:rPr>
        <w:t>.</w:t>
      </w:r>
      <w:r w:rsidRPr="007446EC">
        <w:rPr>
          <w:rFonts w:ascii="Cambria" w:hAnsi="Cambria" w:cs="Arial"/>
          <w:color w:val="000000" w:themeColor="text1"/>
          <w:szCs w:val="22"/>
          <w:lang w:val="en-US"/>
        </w:rPr>
        <w:t xml:space="preserve"> Technology has been a major facilitator in this growth, with a full field EOR polymer flood project, and the world’s largest ASP flood project being implemented in the Rajasthan block.</w:t>
      </w:r>
    </w:p>
    <w:p w14:paraId="117F60A0" w14:textId="77777777" w:rsidR="003D5F4D" w:rsidRDefault="003D5F4D" w:rsidP="003D5F4D">
      <w:pPr>
        <w:spacing w:before="29"/>
        <w:ind w:right="55"/>
        <w:jc w:val="both"/>
        <w:rPr>
          <w:rFonts w:ascii="Cambria" w:hAnsi="Cambria" w:cs="Arial"/>
          <w:color w:val="000000" w:themeColor="text1"/>
          <w:szCs w:val="22"/>
        </w:rPr>
      </w:pPr>
    </w:p>
    <w:p w14:paraId="5EAA8E33" w14:textId="77777777" w:rsidR="003D5F4D" w:rsidRPr="00464D77" w:rsidRDefault="003D5F4D" w:rsidP="003D5F4D">
      <w:pPr>
        <w:spacing w:before="29"/>
        <w:ind w:right="55"/>
        <w:jc w:val="both"/>
        <w:rPr>
          <w:rFonts w:ascii="Cambria" w:eastAsia="Cambria" w:hAnsi="Cambria" w:cs="Arial"/>
          <w:color w:val="000000" w:themeColor="text1"/>
          <w:szCs w:val="22"/>
        </w:rPr>
      </w:pPr>
      <w:r w:rsidRPr="00464D77">
        <w:rPr>
          <w:rFonts w:ascii="Cambria" w:hAnsi="Cambria" w:cs="Arial"/>
          <w:color w:val="000000" w:themeColor="text1"/>
          <w:szCs w:val="22"/>
        </w:rPr>
        <w:t xml:space="preserve">The Operator on behalf of itself &amp; Joint Venture (JV) </w:t>
      </w:r>
      <w:r w:rsidRPr="002F1A9F">
        <w:rPr>
          <w:rFonts w:ascii="Cambria" w:hAnsi="Cambria" w:cs="Arial"/>
          <w:color w:val="000000" w:themeColor="text1"/>
          <w:szCs w:val="22"/>
        </w:rPr>
        <w:t>partner(s)</w:t>
      </w:r>
      <w:r w:rsidRPr="00464D77">
        <w:rPr>
          <w:rFonts w:ascii="Cambria" w:hAnsi="Cambria" w:cs="Arial"/>
          <w:color w:val="000000" w:themeColor="text1"/>
          <w:szCs w:val="22"/>
        </w:rPr>
        <w:t xml:space="preserve"> invites interested contractors with proven capabilities and demonstrated performance in similar requirement to express their interest to participate in the International Competitive Bidding Process for the</w:t>
      </w:r>
      <w:r w:rsidRPr="00464D77">
        <w:rPr>
          <w:rFonts w:ascii="Cambria" w:hAnsi="Cambria" w:cs="Arial"/>
          <w:b/>
          <w:color w:val="000000" w:themeColor="text1"/>
          <w:szCs w:val="22"/>
        </w:rPr>
        <w:t xml:space="preserve"> ‘‘</w:t>
      </w:r>
      <w:r w:rsidRPr="005E2F2A">
        <w:rPr>
          <w:rFonts w:ascii="Cambria" w:hAnsi="Cambria" w:cs="Arial"/>
          <w:b/>
          <w:color w:val="000000" w:themeColor="text1"/>
          <w:szCs w:val="22"/>
        </w:rPr>
        <w:t xml:space="preserve">PROVISION OF INTEGRATED </w:t>
      </w:r>
      <w:r w:rsidRPr="005E2F2A">
        <w:rPr>
          <w:rFonts w:ascii="Cambria" w:hAnsi="Cambria" w:cs="Arial"/>
          <w:b/>
          <w:bCs/>
          <w:color w:val="000000" w:themeColor="text1"/>
          <w:szCs w:val="22"/>
        </w:rPr>
        <w:t xml:space="preserve">PETROLEUM ENGINEERING SERVICES FOR RAJASTHAN BLOCK: </w:t>
      </w:r>
      <w:r w:rsidRPr="005E2F2A">
        <w:rPr>
          <w:rFonts w:ascii="Cambria" w:hAnsi="Cambria" w:cs="Arial"/>
          <w:b/>
          <w:bCs/>
          <w:color w:val="000000" w:themeColor="text1"/>
          <w:szCs w:val="22"/>
          <w:lang w:val="en-US"/>
        </w:rPr>
        <w:t>RJ-ON-90/1</w:t>
      </w:r>
      <w:r w:rsidRPr="00464D77">
        <w:rPr>
          <w:rFonts w:ascii="Cambria" w:hAnsi="Cambria" w:cs="Arial"/>
          <w:b/>
          <w:bCs/>
          <w:color w:val="000000" w:themeColor="text1"/>
          <w:szCs w:val="22"/>
        </w:rPr>
        <w:t>”</w:t>
      </w:r>
    </w:p>
    <w:p w14:paraId="501E1D95" w14:textId="77777777" w:rsidR="003D5F4D" w:rsidRPr="00464D77" w:rsidRDefault="003D5F4D" w:rsidP="003D5F4D">
      <w:pPr>
        <w:autoSpaceDE w:val="0"/>
        <w:autoSpaceDN w:val="0"/>
        <w:adjustRightInd w:val="0"/>
        <w:jc w:val="both"/>
        <w:rPr>
          <w:rFonts w:ascii="Cambria" w:hAnsi="Cambria" w:cs="Arial"/>
          <w:b/>
          <w:color w:val="000000" w:themeColor="text1"/>
          <w:szCs w:val="22"/>
        </w:rPr>
      </w:pPr>
    </w:p>
    <w:p w14:paraId="2E61BBEA" w14:textId="4DAA5C79" w:rsidR="003D5F4D" w:rsidRPr="00464D77" w:rsidRDefault="003D5F4D" w:rsidP="003D5F4D">
      <w:pPr>
        <w:tabs>
          <w:tab w:val="left" w:pos="450"/>
        </w:tabs>
        <w:ind w:right="-360"/>
        <w:jc w:val="both"/>
        <w:rPr>
          <w:rFonts w:ascii="Cambria" w:eastAsiaTheme="minorHAnsi" w:hAnsi="Cambria" w:cs="Arial"/>
          <w:color w:val="000000" w:themeColor="text1"/>
          <w:szCs w:val="22"/>
          <w:lang w:val="en-IN"/>
        </w:rPr>
      </w:pPr>
      <w:r w:rsidRPr="00464D77">
        <w:rPr>
          <w:rFonts w:ascii="Cambria" w:eastAsiaTheme="minorHAnsi" w:hAnsi="Cambria" w:cs="Arial"/>
          <w:color w:val="000000" w:themeColor="text1"/>
          <w:szCs w:val="22"/>
          <w:lang w:val="en-IN"/>
        </w:rPr>
        <w:t xml:space="preserve">Scope of Work broadly includes provision of </w:t>
      </w:r>
      <w:r>
        <w:rPr>
          <w:rFonts w:ascii="Cambria" w:eastAsiaTheme="minorHAnsi" w:hAnsi="Cambria" w:cs="Arial"/>
          <w:color w:val="000000" w:themeColor="text1"/>
          <w:szCs w:val="22"/>
          <w:lang w:val="en-IN"/>
        </w:rPr>
        <w:t>supply and services for Petroleum Engineering activities</w:t>
      </w:r>
      <w:r w:rsidRPr="00464D77">
        <w:rPr>
          <w:rFonts w:ascii="Cambria" w:eastAsiaTheme="minorHAnsi" w:hAnsi="Cambria" w:cs="Arial"/>
          <w:color w:val="000000" w:themeColor="text1"/>
          <w:szCs w:val="22"/>
          <w:lang w:val="en-IN"/>
        </w:rPr>
        <w:t xml:space="preserve"> </w:t>
      </w:r>
      <w:r>
        <w:rPr>
          <w:rFonts w:ascii="Cambria" w:eastAsiaTheme="minorHAnsi" w:hAnsi="Cambria" w:cs="Arial"/>
          <w:color w:val="000000" w:themeColor="text1"/>
          <w:szCs w:val="22"/>
          <w:lang w:val="en-IN"/>
        </w:rPr>
        <w:t>(including rig-based workovers and rig-less interventions),</w:t>
      </w:r>
      <w:r w:rsidRPr="00464D77">
        <w:rPr>
          <w:rFonts w:ascii="Cambria" w:eastAsiaTheme="minorHAnsi" w:hAnsi="Cambria" w:cs="Arial"/>
          <w:color w:val="000000" w:themeColor="text1"/>
          <w:szCs w:val="22"/>
          <w:lang w:val="en-IN"/>
        </w:rPr>
        <w:t xml:space="preserve"> supply </w:t>
      </w:r>
      <w:r>
        <w:rPr>
          <w:rFonts w:ascii="Cambria" w:eastAsiaTheme="minorHAnsi" w:hAnsi="Cambria" w:cs="Arial"/>
          <w:color w:val="000000" w:themeColor="text1"/>
          <w:szCs w:val="22"/>
          <w:lang w:val="en-IN"/>
        </w:rPr>
        <w:t xml:space="preserve">and services </w:t>
      </w:r>
      <w:r w:rsidRPr="00464D77">
        <w:rPr>
          <w:rFonts w:ascii="Cambria" w:eastAsiaTheme="minorHAnsi" w:hAnsi="Cambria" w:cs="Arial"/>
          <w:color w:val="000000" w:themeColor="text1"/>
          <w:szCs w:val="22"/>
          <w:lang w:val="en-IN"/>
        </w:rPr>
        <w:t xml:space="preserve">of </w:t>
      </w:r>
      <w:r>
        <w:rPr>
          <w:rFonts w:ascii="Cambria" w:eastAsiaTheme="minorHAnsi" w:hAnsi="Cambria" w:cs="Arial"/>
          <w:color w:val="000000" w:themeColor="text1"/>
          <w:szCs w:val="22"/>
          <w:lang w:val="en-IN"/>
        </w:rPr>
        <w:t xml:space="preserve">Artificial Lift Systems, </w:t>
      </w:r>
      <w:r w:rsidRPr="00464D77">
        <w:rPr>
          <w:rFonts w:ascii="Cambria" w:eastAsiaTheme="minorHAnsi" w:hAnsi="Cambria" w:cs="Arial"/>
          <w:color w:val="000000" w:themeColor="text1"/>
          <w:szCs w:val="22"/>
          <w:lang w:val="en-IN"/>
        </w:rPr>
        <w:t>chemicals and consumables</w:t>
      </w:r>
      <w:r>
        <w:rPr>
          <w:rFonts w:ascii="Cambria" w:eastAsiaTheme="minorHAnsi" w:hAnsi="Cambria" w:cs="Arial"/>
          <w:color w:val="000000" w:themeColor="text1"/>
          <w:szCs w:val="22"/>
          <w:lang w:val="en-IN"/>
        </w:rPr>
        <w:t>, and Auxiliary Services</w:t>
      </w:r>
      <w:r w:rsidRPr="00464D77">
        <w:rPr>
          <w:rFonts w:ascii="Cambria" w:eastAsiaTheme="minorHAnsi" w:hAnsi="Cambria" w:cs="Arial"/>
          <w:color w:val="000000" w:themeColor="text1"/>
          <w:szCs w:val="22"/>
          <w:lang w:val="en-IN"/>
        </w:rPr>
        <w:t>.</w:t>
      </w:r>
      <w:r w:rsidR="004D4DC9" w:rsidRPr="004D4DC9">
        <w:rPr>
          <w:rFonts w:ascii="Cambria" w:eastAsiaTheme="minorHAnsi" w:hAnsi="Cambria" w:cs="Arial"/>
          <w:color w:val="000000" w:themeColor="text1"/>
          <w:szCs w:val="22"/>
          <w:lang w:val="en-IN"/>
        </w:rPr>
        <w:t xml:space="preserve"> </w:t>
      </w:r>
      <w:r w:rsidR="004D4DC9" w:rsidRPr="00464D77">
        <w:rPr>
          <w:rFonts w:ascii="Cambria" w:eastAsiaTheme="minorHAnsi" w:hAnsi="Cambria" w:cs="Arial"/>
          <w:color w:val="000000" w:themeColor="text1"/>
          <w:szCs w:val="22"/>
          <w:lang w:val="en-IN"/>
        </w:rPr>
        <w:t xml:space="preserve">Services will be mobilized as per </w:t>
      </w:r>
      <w:r w:rsidR="004D4DC9">
        <w:rPr>
          <w:rFonts w:ascii="Cambria" w:eastAsiaTheme="minorHAnsi" w:hAnsi="Cambria" w:cs="Arial"/>
          <w:color w:val="000000" w:themeColor="text1"/>
          <w:szCs w:val="22"/>
          <w:lang w:val="en-IN"/>
        </w:rPr>
        <w:t xml:space="preserve">long term </w:t>
      </w:r>
      <w:r w:rsidR="004D4DC9" w:rsidRPr="00464D77">
        <w:rPr>
          <w:rFonts w:ascii="Cambria" w:eastAsiaTheme="minorHAnsi" w:hAnsi="Cambria" w:cs="Arial"/>
          <w:color w:val="000000" w:themeColor="text1"/>
          <w:szCs w:val="22"/>
          <w:lang w:val="en-IN"/>
        </w:rPr>
        <w:t>well intervention plan</w:t>
      </w:r>
      <w:r w:rsidR="004D4DC9">
        <w:rPr>
          <w:rFonts w:ascii="Cambria" w:eastAsiaTheme="minorHAnsi" w:hAnsi="Cambria" w:cs="Arial"/>
          <w:color w:val="000000" w:themeColor="text1"/>
          <w:szCs w:val="22"/>
          <w:lang w:val="en-IN"/>
        </w:rPr>
        <w:t>ning</w:t>
      </w:r>
      <w:r w:rsidR="004D4DC9">
        <w:rPr>
          <w:rFonts w:ascii="Cambria" w:eastAsiaTheme="minorHAnsi" w:hAnsi="Cambria" w:cs="Arial"/>
          <w:color w:val="000000" w:themeColor="text1"/>
          <w:szCs w:val="22"/>
          <w:lang w:val="en-IN"/>
        </w:rPr>
        <w:t>.</w:t>
      </w:r>
      <w:r w:rsidR="005A2D04">
        <w:rPr>
          <w:rFonts w:ascii="Cambria" w:eastAsiaTheme="minorHAnsi" w:hAnsi="Cambria" w:cs="Arial"/>
          <w:color w:val="000000" w:themeColor="text1"/>
          <w:szCs w:val="22"/>
          <w:lang w:val="en-IN"/>
        </w:rPr>
        <w:t xml:space="preserve"> </w:t>
      </w:r>
      <w:r w:rsidRPr="00464D77">
        <w:rPr>
          <w:rFonts w:ascii="Cambria" w:eastAsiaTheme="minorHAnsi" w:hAnsi="Cambria" w:cs="Arial"/>
          <w:color w:val="000000" w:themeColor="text1"/>
          <w:szCs w:val="22"/>
          <w:lang w:val="en-IN"/>
        </w:rPr>
        <w:t>A brief list of the key services is provided below for reference:</w:t>
      </w:r>
    </w:p>
    <w:p w14:paraId="7672D13A" w14:textId="7548CBC9" w:rsidR="003D5F4D" w:rsidRPr="00464D77" w:rsidRDefault="005A2D04" w:rsidP="003D5F4D">
      <w:pPr>
        <w:tabs>
          <w:tab w:val="left" w:pos="450"/>
        </w:tabs>
        <w:ind w:right="-360"/>
        <w:jc w:val="both"/>
        <w:rPr>
          <w:rFonts w:ascii="Cambria" w:eastAsiaTheme="minorHAnsi" w:hAnsi="Cambria" w:cs="Arial"/>
          <w:color w:val="000000" w:themeColor="text1"/>
          <w:szCs w:val="22"/>
          <w:lang w:val="en-IN"/>
        </w:rPr>
      </w:pPr>
      <w:r>
        <w:rPr>
          <w:rFonts w:ascii="Cambria" w:eastAsiaTheme="minorHAnsi" w:hAnsi="Cambria" w:cs="Arial"/>
          <w:color w:val="000000" w:themeColor="text1"/>
          <w:szCs w:val="22"/>
          <w:lang w:val="en-IN"/>
        </w:rPr>
        <w:t xml:space="preserve"> </w:t>
      </w:r>
    </w:p>
    <w:p w14:paraId="2DD19A61" w14:textId="77777777" w:rsidR="003D5F4D" w:rsidRPr="006A57F5" w:rsidRDefault="003D5F4D" w:rsidP="003D5F4D">
      <w:pPr>
        <w:pStyle w:val="ListParagraph"/>
        <w:numPr>
          <w:ilvl w:val="0"/>
          <w:numId w:val="7"/>
        </w:numPr>
        <w:spacing w:after="160" w:line="252" w:lineRule="auto"/>
        <w:rPr>
          <w:rFonts w:ascii="Cambria" w:hAnsi="Cambria" w:cs="Arial"/>
          <w:b/>
          <w:bCs/>
          <w:color w:val="000000" w:themeColor="text1"/>
          <w:sz w:val="22"/>
        </w:rPr>
      </w:pPr>
      <w:bookmarkStart w:id="0" w:name="_Hlk59465142"/>
      <w:r>
        <w:rPr>
          <w:rFonts w:ascii="Cambria" w:hAnsi="Cambria" w:cs="Arial"/>
          <w:b/>
          <w:bCs/>
          <w:color w:val="000000" w:themeColor="text1"/>
          <w:sz w:val="22"/>
        </w:rPr>
        <w:t>W</w:t>
      </w:r>
      <w:r w:rsidRPr="006A57F5">
        <w:rPr>
          <w:rFonts w:ascii="Cambria" w:hAnsi="Cambria" w:cs="Arial"/>
          <w:b/>
          <w:bCs/>
          <w:color w:val="000000" w:themeColor="text1"/>
          <w:sz w:val="22"/>
        </w:rPr>
        <w:t xml:space="preserve">orkover </w:t>
      </w:r>
      <w:bookmarkEnd w:id="0"/>
      <w:r>
        <w:rPr>
          <w:rFonts w:ascii="Cambria" w:hAnsi="Cambria" w:cs="Arial"/>
          <w:b/>
          <w:bCs/>
          <w:color w:val="000000" w:themeColor="text1"/>
          <w:sz w:val="22"/>
        </w:rPr>
        <w:t>operations</w:t>
      </w:r>
      <w:r w:rsidRPr="006A57F5">
        <w:rPr>
          <w:rFonts w:ascii="Cambria" w:hAnsi="Cambria" w:cs="Arial"/>
          <w:b/>
          <w:bCs/>
          <w:color w:val="000000" w:themeColor="text1"/>
          <w:sz w:val="22"/>
        </w:rPr>
        <w:t xml:space="preserve">: </w:t>
      </w:r>
    </w:p>
    <w:p w14:paraId="5D1C3BE6" w14:textId="77777777" w:rsidR="003D5F4D" w:rsidRPr="008307BF" w:rsidRDefault="003D5F4D" w:rsidP="003D5F4D">
      <w:pPr>
        <w:pStyle w:val="ListParagraph"/>
        <w:numPr>
          <w:ilvl w:val="1"/>
          <w:numId w:val="7"/>
        </w:numPr>
        <w:spacing w:after="160" w:line="252" w:lineRule="auto"/>
        <w:rPr>
          <w:rFonts w:ascii="Cambria" w:hAnsi="Cambria" w:cs="Arial"/>
          <w:sz w:val="22"/>
        </w:rPr>
      </w:pPr>
      <w:bookmarkStart w:id="1" w:name="_Hlk59535060"/>
      <w:r w:rsidRPr="008307BF">
        <w:rPr>
          <w:rFonts w:ascii="Cambria" w:hAnsi="Cambria" w:cs="Arial"/>
          <w:sz w:val="22"/>
        </w:rPr>
        <w:t xml:space="preserve">Workover Rig Services </w:t>
      </w:r>
      <w:bookmarkEnd w:id="1"/>
      <w:r w:rsidRPr="008307BF">
        <w:rPr>
          <w:rFonts w:ascii="Cambria" w:hAnsi="Cambria" w:cs="Arial"/>
          <w:sz w:val="22"/>
        </w:rPr>
        <w:t>(including the provision of rigs)</w:t>
      </w:r>
    </w:p>
    <w:p w14:paraId="1F32DD65" w14:textId="77777777" w:rsidR="003D5F4D" w:rsidRPr="008307BF" w:rsidRDefault="003D5F4D" w:rsidP="003D5F4D">
      <w:pPr>
        <w:pStyle w:val="ListParagraph"/>
        <w:numPr>
          <w:ilvl w:val="1"/>
          <w:numId w:val="7"/>
        </w:numPr>
        <w:spacing w:after="160" w:line="252" w:lineRule="auto"/>
        <w:rPr>
          <w:rFonts w:ascii="Cambria" w:hAnsi="Cambria" w:cs="Arial"/>
          <w:sz w:val="22"/>
        </w:rPr>
      </w:pPr>
      <w:r w:rsidRPr="008307BF">
        <w:rPr>
          <w:rFonts w:ascii="Cambria" w:hAnsi="Cambria" w:cs="Arial"/>
          <w:sz w:val="22"/>
        </w:rPr>
        <w:t>Rod Running Unit Services</w:t>
      </w:r>
    </w:p>
    <w:p w14:paraId="7D642250" w14:textId="77777777" w:rsidR="003D5F4D" w:rsidRPr="008307BF" w:rsidRDefault="003D5F4D" w:rsidP="003D5F4D">
      <w:pPr>
        <w:pStyle w:val="ListParagraph"/>
        <w:numPr>
          <w:ilvl w:val="1"/>
          <w:numId w:val="7"/>
        </w:numPr>
        <w:spacing w:after="160" w:line="252" w:lineRule="auto"/>
        <w:rPr>
          <w:rFonts w:ascii="Cambria" w:hAnsi="Cambria" w:cs="Arial"/>
          <w:sz w:val="22"/>
        </w:rPr>
      </w:pPr>
      <w:r w:rsidRPr="008307BF">
        <w:rPr>
          <w:rFonts w:ascii="Cambria" w:hAnsi="Cambria" w:cs="Arial"/>
          <w:sz w:val="22"/>
        </w:rPr>
        <w:t xml:space="preserve">Completion &amp; Well-Bore Cleanout Services </w:t>
      </w:r>
    </w:p>
    <w:p w14:paraId="058540DD" w14:textId="77777777" w:rsidR="003D5F4D" w:rsidRPr="008307BF" w:rsidRDefault="003D5F4D" w:rsidP="003D5F4D">
      <w:pPr>
        <w:pStyle w:val="ListParagraph"/>
        <w:numPr>
          <w:ilvl w:val="1"/>
          <w:numId w:val="7"/>
        </w:numPr>
        <w:spacing w:after="160" w:line="252" w:lineRule="auto"/>
        <w:rPr>
          <w:rFonts w:ascii="Cambria" w:hAnsi="Cambria" w:cs="Arial"/>
          <w:sz w:val="22"/>
        </w:rPr>
      </w:pPr>
      <w:bookmarkStart w:id="2" w:name="_Hlk59535081"/>
      <w:r w:rsidRPr="008307BF">
        <w:rPr>
          <w:rFonts w:ascii="Cambria" w:hAnsi="Cambria" w:cs="Arial"/>
          <w:sz w:val="22"/>
        </w:rPr>
        <w:t>Fishing-Milling Equipment and Associated Services</w:t>
      </w:r>
      <w:bookmarkEnd w:id="2"/>
    </w:p>
    <w:p w14:paraId="6416240B" w14:textId="77777777" w:rsidR="003D5F4D" w:rsidRPr="008307BF" w:rsidRDefault="003D5F4D" w:rsidP="003D5F4D">
      <w:pPr>
        <w:pStyle w:val="ListParagraph"/>
        <w:numPr>
          <w:ilvl w:val="1"/>
          <w:numId w:val="7"/>
        </w:numPr>
        <w:spacing w:after="160" w:line="252" w:lineRule="auto"/>
        <w:rPr>
          <w:rFonts w:ascii="Cambria" w:hAnsi="Cambria" w:cs="Arial"/>
          <w:sz w:val="22"/>
        </w:rPr>
      </w:pPr>
      <w:r w:rsidRPr="008307BF">
        <w:rPr>
          <w:rFonts w:ascii="Cambria" w:hAnsi="Cambria" w:cs="Arial"/>
          <w:sz w:val="22"/>
        </w:rPr>
        <w:t>TCP Equipment and Services</w:t>
      </w:r>
    </w:p>
    <w:p w14:paraId="407197F5" w14:textId="77777777" w:rsidR="003D5F4D" w:rsidRPr="008307BF" w:rsidRDefault="003D5F4D" w:rsidP="003D5F4D">
      <w:pPr>
        <w:pStyle w:val="ListParagraph"/>
        <w:numPr>
          <w:ilvl w:val="1"/>
          <w:numId w:val="7"/>
        </w:numPr>
        <w:spacing w:after="160" w:line="252" w:lineRule="auto"/>
        <w:rPr>
          <w:rFonts w:ascii="Cambria" w:hAnsi="Cambria" w:cs="Arial"/>
          <w:sz w:val="22"/>
        </w:rPr>
      </w:pPr>
      <w:r w:rsidRPr="008307BF">
        <w:rPr>
          <w:rFonts w:ascii="Cambria" w:hAnsi="Cambria" w:cs="Arial"/>
          <w:sz w:val="22"/>
        </w:rPr>
        <w:t>Tubing Running-in Services</w:t>
      </w:r>
    </w:p>
    <w:p w14:paraId="60DF634D" w14:textId="77777777" w:rsidR="003D5F4D" w:rsidRPr="008307BF" w:rsidRDefault="003D5F4D" w:rsidP="003D5F4D">
      <w:pPr>
        <w:pStyle w:val="ListParagraph"/>
        <w:numPr>
          <w:ilvl w:val="1"/>
          <w:numId w:val="7"/>
        </w:numPr>
        <w:spacing w:after="160" w:line="252" w:lineRule="auto"/>
        <w:rPr>
          <w:rFonts w:ascii="Cambria" w:hAnsi="Cambria" w:cs="Arial"/>
          <w:sz w:val="22"/>
        </w:rPr>
      </w:pPr>
      <w:r w:rsidRPr="008307BF">
        <w:rPr>
          <w:rFonts w:ascii="Cambria" w:hAnsi="Cambria" w:cs="Arial"/>
          <w:sz w:val="22"/>
        </w:rPr>
        <w:t>Hot Oiler Services</w:t>
      </w:r>
    </w:p>
    <w:p w14:paraId="74F15DE1" w14:textId="77777777" w:rsidR="003D5F4D" w:rsidRPr="008307BF" w:rsidRDefault="003D5F4D" w:rsidP="003D5F4D">
      <w:pPr>
        <w:pStyle w:val="ListParagraph"/>
        <w:numPr>
          <w:ilvl w:val="1"/>
          <w:numId w:val="7"/>
        </w:numPr>
        <w:spacing w:after="160" w:line="252" w:lineRule="auto"/>
        <w:rPr>
          <w:rFonts w:ascii="Cambria" w:hAnsi="Cambria" w:cs="Arial"/>
          <w:sz w:val="22"/>
        </w:rPr>
      </w:pPr>
      <w:bookmarkStart w:id="3" w:name="_Hlk59472658"/>
      <w:r w:rsidRPr="008307BF">
        <w:rPr>
          <w:rFonts w:ascii="Cambria" w:hAnsi="Cambria" w:cs="Arial"/>
          <w:sz w:val="22"/>
        </w:rPr>
        <w:t>Completion fluids Supply and Services</w:t>
      </w:r>
    </w:p>
    <w:bookmarkEnd w:id="3"/>
    <w:p w14:paraId="6AAB89EE" w14:textId="77777777" w:rsidR="003D5F4D" w:rsidRPr="008307BF" w:rsidRDefault="003D5F4D" w:rsidP="003D5F4D">
      <w:pPr>
        <w:pStyle w:val="ListParagraph"/>
        <w:numPr>
          <w:ilvl w:val="1"/>
          <w:numId w:val="7"/>
        </w:numPr>
        <w:spacing w:after="160" w:line="252" w:lineRule="auto"/>
        <w:rPr>
          <w:rFonts w:ascii="Cambria" w:hAnsi="Cambria" w:cs="Arial"/>
          <w:sz w:val="22"/>
        </w:rPr>
      </w:pPr>
      <w:r w:rsidRPr="008307BF">
        <w:rPr>
          <w:rFonts w:ascii="Cambria" w:hAnsi="Cambria" w:cs="Arial"/>
          <w:sz w:val="22"/>
        </w:rPr>
        <w:t>Supply of (OCTG) Tubing and Boronised Tubing</w:t>
      </w:r>
    </w:p>
    <w:p w14:paraId="51D75FC7" w14:textId="77777777" w:rsidR="003D5F4D" w:rsidRPr="008307BF" w:rsidRDefault="003D5F4D" w:rsidP="003D5F4D">
      <w:pPr>
        <w:pStyle w:val="ListParagraph"/>
        <w:numPr>
          <w:ilvl w:val="1"/>
          <w:numId w:val="7"/>
        </w:numPr>
        <w:spacing w:after="160" w:line="252" w:lineRule="auto"/>
        <w:rPr>
          <w:rFonts w:ascii="Cambria" w:hAnsi="Cambria" w:cs="Arial"/>
          <w:sz w:val="22"/>
        </w:rPr>
      </w:pPr>
      <w:r w:rsidRPr="008307BF">
        <w:rPr>
          <w:rFonts w:ascii="Cambria" w:hAnsi="Cambria" w:cs="Arial"/>
          <w:sz w:val="22"/>
        </w:rPr>
        <w:t>Supply of Completion Equipment</w:t>
      </w:r>
    </w:p>
    <w:p w14:paraId="4E8239D9" w14:textId="77777777" w:rsidR="003D5F4D" w:rsidRPr="008307BF" w:rsidRDefault="003D5F4D" w:rsidP="003D5F4D">
      <w:pPr>
        <w:pStyle w:val="ListParagraph"/>
        <w:numPr>
          <w:ilvl w:val="0"/>
          <w:numId w:val="7"/>
        </w:numPr>
        <w:spacing w:after="160" w:line="252" w:lineRule="auto"/>
        <w:rPr>
          <w:rFonts w:ascii="Cambria" w:hAnsi="Cambria" w:cs="Arial"/>
          <w:b/>
          <w:bCs/>
          <w:sz w:val="22"/>
        </w:rPr>
      </w:pPr>
      <w:r w:rsidRPr="008307BF">
        <w:rPr>
          <w:rFonts w:ascii="Cambria" w:hAnsi="Cambria" w:cs="Arial"/>
          <w:b/>
          <w:bCs/>
          <w:sz w:val="22"/>
        </w:rPr>
        <w:t>Rig-less well services:</w:t>
      </w:r>
    </w:p>
    <w:p w14:paraId="74F20A87" w14:textId="77777777" w:rsidR="003D5F4D" w:rsidRPr="008307BF" w:rsidRDefault="003D5F4D" w:rsidP="003D5F4D">
      <w:pPr>
        <w:pStyle w:val="ListParagraph"/>
        <w:numPr>
          <w:ilvl w:val="1"/>
          <w:numId w:val="7"/>
        </w:numPr>
        <w:spacing w:after="160" w:line="252" w:lineRule="auto"/>
        <w:rPr>
          <w:rFonts w:ascii="Cambria" w:hAnsi="Cambria" w:cs="Arial"/>
          <w:sz w:val="22"/>
        </w:rPr>
      </w:pPr>
      <w:r w:rsidRPr="008307BF">
        <w:rPr>
          <w:rFonts w:ascii="Cambria" w:hAnsi="Cambria" w:cs="Arial"/>
          <w:sz w:val="22"/>
        </w:rPr>
        <w:t>Slick line services</w:t>
      </w:r>
    </w:p>
    <w:p w14:paraId="048ACEF0" w14:textId="77777777" w:rsidR="003D5F4D" w:rsidRPr="008307BF" w:rsidRDefault="003D5F4D" w:rsidP="003D5F4D">
      <w:pPr>
        <w:pStyle w:val="ListParagraph"/>
        <w:numPr>
          <w:ilvl w:val="1"/>
          <w:numId w:val="7"/>
        </w:numPr>
        <w:spacing w:after="160" w:line="252" w:lineRule="auto"/>
        <w:rPr>
          <w:rFonts w:ascii="Cambria" w:hAnsi="Cambria" w:cs="Arial"/>
          <w:sz w:val="22"/>
        </w:rPr>
      </w:pPr>
      <w:r w:rsidRPr="008307BF">
        <w:rPr>
          <w:rFonts w:ascii="Cambria" w:hAnsi="Cambria" w:cs="Arial"/>
          <w:sz w:val="22"/>
        </w:rPr>
        <w:t xml:space="preserve">Eline services </w:t>
      </w:r>
    </w:p>
    <w:p w14:paraId="5C318442" w14:textId="77777777" w:rsidR="003D5F4D" w:rsidRPr="008307BF" w:rsidRDefault="003D5F4D" w:rsidP="003D5F4D">
      <w:pPr>
        <w:pStyle w:val="ListParagraph"/>
        <w:numPr>
          <w:ilvl w:val="1"/>
          <w:numId w:val="7"/>
        </w:numPr>
        <w:spacing w:after="160" w:line="252" w:lineRule="auto"/>
        <w:rPr>
          <w:rFonts w:ascii="Cambria" w:hAnsi="Cambria" w:cs="Arial"/>
          <w:sz w:val="22"/>
        </w:rPr>
      </w:pPr>
      <w:r w:rsidRPr="008307BF">
        <w:rPr>
          <w:rFonts w:ascii="Cambria" w:hAnsi="Cambria" w:cs="Arial"/>
          <w:sz w:val="22"/>
        </w:rPr>
        <w:t>Coil tubing &amp; stimulation chemicals and services (including N2)</w:t>
      </w:r>
    </w:p>
    <w:p w14:paraId="72ABC538" w14:textId="77777777" w:rsidR="003D5F4D" w:rsidRPr="008307BF" w:rsidRDefault="003D5F4D" w:rsidP="003D5F4D">
      <w:pPr>
        <w:pStyle w:val="ListParagraph"/>
        <w:numPr>
          <w:ilvl w:val="1"/>
          <w:numId w:val="7"/>
        </w:numPr>
        <w:spacing w:after="160" w:line="252" w:lineRule="auto"/>
        <w:rPr>
          <w:rFonts w:ascii="Cambria" w:hAnsi="Cambria" w:cs="Arial"/>
          <w:sz w:val="22"/>
        </w:rPr>
      </w:pPr>
      <w:r w:rsidRPr="008307BF">
        <w:rPr>
          <w:rFonts w:ascii="Cambria" w:hAnsi="Cambria" w:cs="Arial"/>
          <w:sz w:val="22"/>
        </w:rPr>
        <w:lastRenderedPageBreak/>
        <w:t>Pumping services and supply of stimulation</w:t>
      </w:r>
      <w:bookmarkStart w:id="4" w:name="_GoBack"/>
      <w:bookmarkEnd w:id="4"/>
      <w:r w:rsidRPr="008307BF">
        <w:rPr>
          <w:rFonts w:ascii="Cambria" w:hAnsi="Cambria" w:cs="Arial"/>
          <w:sz w:val="22"/>
        </w:rPr>
        <w:t xml:space="preserve"> chemicals </w:t>
      </w:r>
    </w:p>
    <w:p w14:paraId="42B9EF1A" w14:textId="77777777" w:rsidR="003D5F4D" w:rsidRPr="008307BF" w:rsidRDefault="003D5F4D" w:rsidP="003D5F4D">
      <w:pPr>
        <w:pStyle w:val="ListParagraph"/>
        <w:numPr>
          <w:ilvl w:val="1"/>
          <w:numId w:val="7"/>
        </w:numPr>
        <w:spacing w:after="160" w:line="252" w:lineRule="auto"/>
        <w:rPr>
          <w:rFonts w:ascii="Cambria" w:hAnsi="Cambria" w:cs="Arial"/>
          <w:sz w:val="22"/>
        </w:rPr>
      </w:pPr>
      <w:r w:rsidRPr="008307BF">
        <w:rPr>
          <w:rFonts w:ascii="Cambria" w:hAnsi="Cambria" w:cs="Arial"/>
          <w:sz w:val="22"/>
        </w:rPr>
        <w:t>Fracturing Services</w:t>
      </w:r>
    </w:p>
    <w:p w14:paraId="721698BA" w14:textId="77777777" w:rsidR="003D5F4D" w:rsidRPr="008307BF" w:rsidRDefault="003D5F4D" w:rsidP="003D5F4D">
      <w:pPr>
        <w:pStyle w:val="ListParagraph"/>
        <w:numPr>
          <w:ilvl w:val="1"/>
          <w:numId w:val="7"/>
        </w:numPr>
        <w:spacing w:after="160" w:line="252" w:lineRule="auto"/>
        <w:rPr>
          <w:rFonts w:ascii="Cambria" w:hAnsi="Cambria" w:cs="Arial"/>
          <w:sz w:val="22"/>
        </w:rPr>
      </w:pPr>
      <w:r w:rsidRPr="008307BF">
        <w:rPr>
          <w:rFonts w:ascii="Cambria" w:hAnsi="Cambria" w:cs="Arial"/>
          <w:sz w:val="22"/>
        </w:rPr>
        <w:t>Surface well testing services</w:t>
      </w:r>
    </w:p>
    <w:p w14:paraId="67EE0111" w14:textId="77777777" w:rsidR="003D5F4D" w:rsidRPr="008307BF" w:rsidRDefault="003D5F4D" w:rsidP="003D5F4D">
      <w:pPr>
        <w:pStyle w:val="ListParagraph"/>
        <w:numPr>
          <w:ilvl w:val="1"/>
          <w:numId w:val="7"/>
        </w:numPr>
        <w:spacing w:after="160" w:line="252" w:lineRule="auto"/>
        <w:rPr>
          <w:rFonts w:ascii="Cambria" w:hAnsi="Cambria" w:cs="Arial"/>
          <w:sz w:val="22"/>
        </w:rPr>
      </w:pPr>
      <w:r w:rsidRPr="008307BF">
        <w:rPr>
          <w:rFonts w:ascii="Cambria" w:hAnsi="Cambria" w:cs="Arial"/>
          <w:sz w:val="22"/>
        </w:rPr>
        <w:t>Through-tubing services</w:t>
      </w:r>
    </w:p>
    <w:p w14:paraId="30ABDFCA" w14:textId="77777777" w:rsidR="003D5F4D" w:rsidRPr="008307BF" w:rsidRDefault="003D5F4D" w:rsidP="003D5F4D">
      <w:pPr>
        <w:pStyle w:val="ListParagraph"/>
        <w:numPr>
          <w:ilvl w:val="1"/>
          <w:numId w:val="7"/>
        </w:numPr>
        <w:spacing w:after="160" w:line="252" w:lineRule="auto"/>
        <w:rPr>
          <w:rFonts w:ascii="Cambria" w:hAnsi="Cambria" w:cs="Arial"/>
          <w:sz w:val="22"/>
        </w:rPr>
      </w:pPr>
      <w:r w:rsidRPr="008307BF">
        <w:rPr>
          <w:rFonts w:ascii="Cambria" w:hAnsi="Cambria" w:cs="Arial"/>
          <w:sz w:val="22"/>
        </w:rPr>
        <w:t>Wellhead and Xmas tree maintenance services</w:t>
      </w:r>
    </w:p>
    <w:p w14:paraId="4CB51077" w14:textId="77777777" w:rsidR="003D5F4D" w:rsidRPr="008307BF" w:rsidRDefault="003D5F4D" w:rsidP="003D5F4D">
      <w:pPr>
        <w:pStyle w:val="ListParagraph"/>
        <w:numPr>
          <w:ilvl w:val="0"/>
          <w:numId w:val="7"/>
        </w:numPr>
        <w:spacing w:after="160" w:line="252" w:lineRule="auto"/>
        <w:rPr>
          <w:rFonts w:ascii="Cambria" w:hAnsi="Cambria" w:cs="Arial"/>
          <w:b/>
          <w:bCs/>
          <w:sz w:val="22"/>
        </w:rPr>
      </w:pPr>
      <w:r w:rsidRPr="008307BF">
        <w:rPr>
          <w:rFonts w:ascii="Cambria" w:hAnsi="Cambria" w:cs="Arial"/>
          <w:b/>
          <w:bCs/>
          <w:sz w:val="22"/>
        </w:rPr>
        <w:t>Artificial Lift Services</w:t>
      </w:r>
    </w:p>
    <w:p w14:paraId="59457507" w14:textId="77777777" w:rsidR="003D5F4D" w:rsidRPr="008307BF" w:rsidRDefault="003D5F4D" w:rsidP="003D5F4D">
      <w:pPr>
        <w:pStyle w:val="ListParagraph"/>
        <w:numPr>
          <w:ilvl w:val="1"/>
          <w:numId w:val="7"/>
        </w:numPr>
        <w:spacing w:after="160" w:line="252" w:lineRule="auto"/>
        <w:rPr>
          <w:rFonts w:ascii="Cambria" w:hAnsi="Cambria" w:cs="Arial"/>
          <w:sz w:val="22"/>
        </w:rPr>
      </w:pPr>
      <w:r w:rsidRPr="008307BF">
        <w:rPr>
          <w:rFonts w:ascii="Cambria" w:hAnsi="Cambria" w:cs="Arial"/>
          <w:sz w:val="22"/>
        </w:rPr>
        <w:t>Jet pump supply and services</w:t>
      </w:r>
    </w:p>
    <w:p w14:paraId="58A7788A" w14:textId="77777777" w:rsidR="003D5F4D" w:rsidRPr="008307BF" w:rsidRDefault="003D5F4D" w:rsidP="003D5F4D">
      <w:pPr>
        <w:pStyle w:val="ListParagraph"/>
        <w:numPr>
          <w:ilvl w:val="1"/>
          <w:numId w:val="7"/>
        </w:numPr>
        <w:spacing w:after="160" w:line="252" w:lineRule="auto"/>
        <w:rPr>
          <w:rFonts w:ascii="Cambria" w:hAnsi="Cambria" w:cs="Arial"/>
          <w:sz w:val="22"/>
        </w:rPr>
      </w:pPr>
      <w:r>
        <w:rPr>
          <w:rFonts w:ascii="Cambria" w:hAnsi="Cambria" w:cs="Arial"/>
          <w:sz w:val="22"/>
        </w:rPr>
        <w:t>Electrical Submersible Pump (</w:t>
      </w:r>
      <w:r w:rsidRPr="008307BF">
        <w:rPr>
          <w:rFonts w:ascii="Cambria" w:hAnsi="Cambria" w:cs="Arial"/>
          <w:sz w:val="22"/>
        </w:rPr>
        <w:t>ESP</w:t>
      </w:r>
      <w:r>
        <w:rPr>
          <w:rFonts w:ascii="Cambria" w:hAnsi="Cambria" w:cs="Arial"/>
          <w:sz w:val="22"/>
        </w:rPr>
        <w:t>)</w:t>
      </w:r>
      <w:r w:rsidRPr="008307BF">
        <w:rPr>
          <w:rFonts w:ascii="Cambria" w:hAnsi="Cambria" w:cs="Arial"/>
          <w:sz w:val="22"/>
        </w:rPr>
        <w:t xml:space="preserve"> supply and services</w:t>
      </w:r>
    </w:p>
    <w:p w14:paraId="2BC82EA9" w14:textId="77777777" w:rsidR="003D5F4D" w:rsidRPr="008307BF" w:rsidRDefault="003D5F4D" w:rsidP="003D5F4D">
      <w:pPr>
        <w:pStyle w:val="ListParagraph"/>
        <w:numPr>
          <w:ilvl w:val="1"/>
          <w:numId w:val="7"/>
        </w:numPr>
        <w:spacing w:after="160" w:line="252" w:lineRule="auto"/>
        <w:rPr>
          <w:rFonts w:ascii="Cambria" w:hAnsi="Cambria" w:cs="Arial"/>
          <w:sz w:val="22"/>
        </w:rPr>
      </w:pPr>
      <w:r>
        <w:rPr>
          <w:rFonts w:ascii="Cambria" w:hAnsi="Cambria" w:cs="Arial"/>
          <w:sz w:val="22"/>
        </w:rPr>
        <w:t>Progressing Cavity Pump (</w:t>
      </w:r>
      <w:r w:rsidRPr="008307BF">
        <w:rPr>
          <w:rFonts w:ascii="Cambria" w:hAnsi="Cambria" w:cs="Arial"/>
          <w:sz w:val="22"/>
        </w:rPr>
        <w:t>PCP</w:t>
      </w:r>
      <w:r>
        <w:rPr>
          <w:rFonts w:ascii="Cambria" w:hAnsi="Cambria" w:cs="Arial"/>
          <w:sz w:val="22"/>
        </w:rPr>
        <w:t>)</w:t>
      </w:r>
      <w:r w:rsidRPr="008307BF">
        <w:rPr>
          <w:rFonts w:ascii="Cambria" w:hAnsi="Cambria" w:cs="Arial"/>
          <w:sz w:val="22"/>
        </w:rPr>
        <w:t xml:space="preserve"> supply and services</w:t>
      </w:r>
    </w:p>
    <w:p w14:paraId="39B2CBC8" w14:textId="77777777" w:rsidR="003D5F4D" w:rsidRPr="008307BF" w:rsidRDefault="003D5F4D" w:rsidP="003D5F4D">
      <w:pPr>
        <w:pStyle w:val="ListParagraph"/>
        <w:numPr>
          <w:ilvl w:val="1"/>
          <w:numId w:val="7"/>
        </w:numPr>
        <w:spacing w:after="160" w:line="252" w:lineRule="auto"/>
        <w:rPr>
          <w:rFonts w:ascii="Cambria" w:hAnsi="Cambria" w:cs="Arial"/>
          <w:sz w:val="22"/>
        </w:rPr>
      </w:pPr>
      <w:r>
        <w:rPr>
          <w:rFonts w:ascii="Cambria" w:hAnsi="Cambria" w:cs="Arial"/>
          <w:sz w:val="22"/>
        </w:rPr>
        <w:t>Sucker Rod Pump (</w:t>
      </w:r>
      <w:r w:rsidRPr="008307BF">
        <w:rPr>
          <w:rFonts w:ascii="Cambria" w:hAnsi="Cambria" w:cs="Arial"/>
          <w:sz w:val="22"/>
        </w:rPr>
        <w:t>SRP</w:t>
      </w:r>
      <w:r>
        <w:rPr>
          <w:rFonts w:ascii="Cambria" w:hAnsi="Cambria" w:cs="Arial"/>
          <w:sz w:val="22"/>
        </w:rPr>
        <w:t>)</w:t>
      </w:r>
      <w:r w:rsidRPr="008307BF">
        <w:rPr>
          <w:rFonts w:ascii="Cambria" w:hAnsi="Cambria" w:cs="Arial"/>
          <w:sz w:val="22"/>
        </w:rPr>
        <w:t>/</w:t>
      </w:r>
      <w:r>
        <w:rPr>
          <w:rFonts w:ascii="Cambria" w:hAnsi="Cambria" w:cs="Arial"/>
          <w:sz w:val="22"/>
        </w:rPr>
        <w:t xml:space="preserve"> Hydraulic Rod Pump (</w:t>
      </w:r>
      <w:r w:rsidRPr="008307BF">
        <w:rPr>
          <w:rFonts w:ascii="Cambria" w:hAnsi="Cambria" w:cs="Arial"/>
          <w:sz w:val="22"/>
        </w:rPr>
        <w:t>HRP</w:t>
      </w:r>
      <w:r>
        <w:rPr>
          <w:rFonts w:ascii="Cambria" w:hAnsi="Cambria" w:cs="Arial"/>
          <w:sz w:val="22"/>
        </w:rPr>
        <w:t>)</w:t>
      </w:r>
      <w:r w:rsidRPr="008307BF">
        <w:rPr>
          <w:rFonts w:ascii="Cambria" w:hAnsi="Cambria" w:cs="Arial"/>
          <w:sz w:val="22"/>
        </w:rPr>
        <w:t xml:space="preserve"> supply and services</w:t>
      </w:r>
    </w:p>
    <w:p w14:paraId="1B408EF3" w14:textId="77777777" w:rsidR="003D5F4D" w:rsidRDefault="003D5F4D" w:rsidP="003D5F4D">
      <w:pPr>
        <w:pStyle w:val="ListParagraph"/>
        <w:numPr>
          <w:ilvl w:val="1"/>
          <w:numId w:val="7"/>
        </w:numPr>
        <w:spacing w:after="160" w:line="252" w:lineRule="auto"/>
        <w:rPr>
          <w:rFonts w:ascii="Cambria" w:hAnsi="Cambria" w:cs="Arial"/>
          <w:color w:val="000000" w:themeColor="text1"/>
          <w:sz w:val="22"/>
        </w:rPr>
      </w:pPr>
      <w:r>
        <w:rPr>
          <w:rFonts w:ascii="Cambria" w:hAnsi="Cambria" w:cs="Arial"/>
          <w:color w:val="000000" w:themeColor="text1"/>
          <w:sz w:val="22"/>
        </w:rPr>
        <w:t>Echo shots and Dyna card recording</w:t>
      </w:r>
    </w:p>
    <w:p w14:paraId="16B8CB35" w14:textId="77777777" w:rsidR="003D5F4D" w:rsidRPr="001D3B9A" w:rsidRDefault="003D5F4D" w:rsidP="003D5F4D">
      <w:pPr>
        <w:pStyle w:val="ListParagraph"/>
        <w:numPr>
          <w:ilvl w:val="0"/>
          <w:numId w:val="7"/>
        </w:numPr>
        <w:spacing w:after="160" w:line="252" w:lineRule="auto"/>
        <w:rPr>
          <w:rFonts w:ascii="Cambria" w:hAnsi="Cambria" w:cs="Arial"/>
          <w:b/>
          <w:bCs/>
          <w:color w:val="000000" w:themeColor="text1"/>
          <w:sz w:val="22"/>
        </w:rPr>
      </w:pPr>
      <w:r>
        <w:rPr>
          <w:rFonts w:ascii="Cambria" w:hAnsi="Cambria" w:cs="Arial"/>
          <w:color w:val="000000" w:themeColor="text1"/>
          <w:sz w:val="22"/>
        </w:rPr>
        <w:t xml:space="preserve"> </w:t>
      </w:r>
      <w:r w:rsidRPr="001D3B9A">
        <w:rPr>
          <w:rFonts w:ascii="Cambria" w:hAnsi="Cambria" w:cs="Arial"/>
          <w:b/>
          <w:bCs/>
          <w:color w:val="000000" w:themeColor="text1"/>
          <w:sz w:val="22"/>
        </w:rPr>
        <w:t>Auxiliary Services</w:t>
      </w:r>
    </w:p>
    <w:p w14:paraId="4A587C4E" w14:textId="77777777" w:rsidR="003D5F4D" w:rsidRDefault="003D5F4D" w:rsidP="003D5F4D">
      <w:pPr>
        <w:pStyle w:val="ListParagraph"/>
        <w:numPr>
          <w:ilvl w:val="1"/>
          <w:numId w:val="7"/>
        </w:numPr>
        <w:spacing w:after="160" w:line="252" w:lineRule="auto"/>
        <w:rPr>
          <w:rFonts w:ascii="Cambria" w:hAnsi="Cambria" w:cs="Arial"/>
          <w:color w:val="000000" w:themeColor="text1"/>
          <w:sz w:val="22"/>
        </w:rPr>
      </w:pPr>
      <w:r>
        <w:rPr>
          <w:rFonts w:ascii="Cambria" w:hAnsi="Cambria" w:cs="Arial"/>
          <w:color w:val="000000" w:themeColor="text1"/>
          <w:sz w:val="22"/>
        </w:rPr>
        <w:t xml:space="preserve">Material Handling Equipment and services (including </w:t>
      </w:r>
      <w:r w:rsidRPr="00606E78">
        <w:rPr>
          <w:rFonts w:ascii="Cambria" w:hAnsi="Cambria" w:cs="Arial"/>
          <w:color w:val="000000" w:themeColor="text1"/>
          <w:sz w:val="22"/>
        </w:rPr>
        <w:t xml:space="preserve">trailers, cranes, </w:t>
      </w:r>
      <w:r>
        <w:rPr>
          <w:rFonts w:ascii="Cambria" w:hAnsi="Cambria" w:cs="Arial"/>
          <w:color w:val="000000" w:themeColor="text1"/>
          <w:sz w:val="22"/>
        </w:rPr>
        <w:t>f</w:t>
      </w:r>
      <w:r w:rsidRPr="00606E78">
        <w:rPr>
          <w:rFonts w:ascii="Cambria" w:hAnsi="Cambria" w:cs="Arial"/>
          <w:color w:val="000000" w:themeColor="text1"/>
          <w:sz w:val="22"/>
        </w:rPr>
        <w:t xml:space="preserve">orklifts, cherry picker, DG sets, </w:t>
      </w:r>
      <w:r>
        <w:rPr>
          <w:rFonts w:ascii="Cambria" w:hAnsi="Cambria" w:cs="Arial"/>
          <w:color w:val="000000" w:themeColor="text1"/>
          <w:sz w:val="22"/>
        </w:rPr>
        <w:t>s</w:t>
      </w:r>
      <w:r w:rsidRPr="00606E78">
        <w:rPr>
          <w:rFonts w:ascii="Cambria" w:hAnsi="Cambria" w:cs="Arial"/>
          <w:color w:val="000000" w:themeColor="text1"/>
          <w:sz w:val="22"/>
        </w:rPr>
        <w:t>caffolding services</w:t>
      </w:r>
      <w:r>
        <w:rPr>
          <w:rFonts w:ascii="Cambria" w:hAnsi="Cambria" w:cs="Arial"/>
          <w:color w:val="000000" w:themeColor="text1"/>
          <w:sz w:val="22"/>
        </w:rPr>
        <w:t xml:space="preserve"> etc.)</w:t>
      </w:r>
    </w:p>
    <w:p w14:paraId="3FA5A430" w14:textId="77777777" w:rsidR="003D5F4D" w:rsidRDefault="003D5F4D" w:rsidP="003D5F4D">
      <w:pPr>
        <w:pStyle w:val="ListParagraph"/>
        <w:numPr>
          <w:ilvl w:val="1"/>
          <w:numId w:val="7"/>
        </w:numPr>
        <w:spacing w:after="160" w:line="252" w:lineRule="auto"/>
        <w:rPr>
          <w:rFonts w:ascii="Cambria" w:hAnsi="Cambria" w:cs="Arial"/>
          <w:color w:val="000000" w:themeColor="text1"/>
          <w:sz w:val="22"/>
        </w:rPr>
      </w:pPr>
      <w:r w:rsidRPr="001D3B9A">
        <w:rPr>
          <w:rFonts w:ascii="Cambria" w:hAnsi="Cambria" w:cs="Arial"/>
          <w:color w:val="000000" w:themeColor="text1"/>
          <w:sz w:val="22"/>
        </w:rPr>
        <w:t>Fluid Management</w:t>
      </w:r>
      <w:r>
        <w:rPr>
          <w:rFonts w:ascii="Cambria" w:hAnsi="Cambria" w:cs="Arial"/>
          <w:color w:val="000000" w:themeColor="text1"/>
          <w:sz w:val="22"/>
        </w:rPr>
        <w:t xml:space="preserve"> (</w:t>
      </w:r>
      <w:r w:rsidRPr="007C6C73">
        <w:rPr>
          <w:rFonts w:ascii="Cambria" w:hAnsi="Cambria" w:cs="Arial"/>
          <w:color w:val="000000" w:themeColor="text1"/>
          <w:sz w:val="22"/>
        </w:rPr>
        <w:t>vacuum trucks for evacuating various liquids like wastewater, slurry liquid in pits, floating oil</w:t>
      </w:r>
      <w:r>
        <w:rPr>
          <w:rFonts w:ascii="Cambria" w:hAnsi="Cambria" w:cs="Arial"/>
          <w:color w:val="000000" w:themeColor="text1"/>
          <w:sz w:val="22"/>
        </w:rPr>
        <w:t xml:space="preserve"> etc.)</w:t>
      </w:r>
    </w:p>
    <w:p w14:paraId="509895D6" w14:textId="77777777" w:rsidR="003D5F4D" w:rsidRDefault="003D5F4D" w:rsidP="003D5F4D">
      <w:pPr>
        <w:pStyle w:val="ListParagraph"/>
        <w:numPr>
          <w:ilvl w:val="1"/>
          <w:numId w:val="7"/>
        </w:numPr>
        <w:spacing w:after="160" w:line="252" w:lineRule="auto"/>
        <w:rPr>
          <w:rFonts w:ascii="Cambria" w:hAnsi="Cambria" w:cs="Arial"/>
          <w:color w:val="000000" w:themeColor="text1"/>
          <w:sz w:val="22"/>
        </w:rPr>
      </w:pPr>
      <w:r>
        <w:rPr>
          <w:rFonts w:ascii="Cambria" w:hAnsi="Cambria" w:cs="Arial"/>
          <w:color w:val="000000" w:themeColor="text1"/>
          <w:sz w:val="22"/>
        </w:rPr>
        <w:t>Manpower Services (</w:t>
      </w:r>
      <w:r w:rsidRPr="00A47757">
        <w:rPr>
          <w:rFonts w:ascii="Cambria" w:hAnsi="Cambria" w:cs="Arial"/>
          <w:color w:val="000000" w:themeColor="text1"/>
          <w:sz w:val="22"/>
        </w:rPr>
        <w:t xml:space="preserve">semi-skilled manpower </w:t>
      </w:r>
      <w:r>
        <w:rPr>
          <w:rFonts w:ascii="Cambria" w:hAnsi="Cambria" w:cs="Arial"/>
          <w:color w:val="000000" w:themeColor="text1"/>
          <w:sz w:val="22"/>
        </w:rPr>
        <w:t>t</w:t>
      </w:r>
      <w:r w:rsidRPr="00A47757">
        <w:rPr>
          <w:rFonts w:ascii="Cambria" w:hAnsi="Cambria" w:cs="Arial"/>
          <w:color w:val="000000" w:themeColor="text1"/>
          <w:sz w:val="22"/>
        </w:rPr>
        <w:t xml:space="preserve">o </w:t>
      </w:r>
      <w:r>
        <w:rPr>
          <w:rFonts w:ascii="Cambria" w:hAnsi="Cambria" w:cs="Arial"/>
          <w:color w:val="000000" w:themeColor="text1"/>
          <w:sz w:val="22"/>
        </w:rPr>
        <w:t xml:space="preserve">assist </w:t>
      </w:r>
      <w:r w:rsidRPr="00A47757">
        <w:rPr>
          <w:rFonts w:ascii="Cambria" w:hAnsi="Cambria" w:cs="Arial"/>
          <w:color w:val="000000" w:themeColor="text1"/>
          <w:sz w:val="22"/>
        </w:rPr>
        <w:t>in various petroleum engineering operations</w:t>
      </w:r>
      <w:r>
        <w:rPr>
          <w:rFonts w:ascii="Cambria" w:hAnsi="Cambria" w:cs="Arial"/>
          <w:color w:val="000000" w:themeColor="text1"/>
          <w:sz w:val="22"/>
        </w:rPr>
        <w:t>)</w:t>
      </w:r>
    </w:p>
    <w:p w14:paraId="08B908C3" w14:textId="77777777" w:rsidR="003D5F4D" w:rsidRPr="00464D77" w:rsidRDefault="003D5F4D" w:rsidP="003D5F4D">
      <w:pPr>
        <w:pStyle w:val="ListParagraph"/>
        <w:numPr>
          <w:ilvl w:val="1"/>
          <w:numId w:val="7"/>
        </w:numPr>
        <w:spacing w:after="160" w:line="252" w:lineRule="auto"/>
        <w:rPr>
          <w:rFonts w:ascii="Cambria" w:hAnsi="Cambria" w:cs="Arial"/>
          <w:color w:val="000000" w:themeColor="text1"/>
          <w:sz w:val="22"/>
        </w:rPr>
      </w:pPr>
      <w:r w:rsidRPr="00464D77">
        <w:rPr>
          <w:rFonts w:ascii="Cambria" w:hAnsi="Cambria" w:cs="Arial"/>
          <w:color w:val="000000" w:themeColor="text1"/>
          <w:sz w:val="22"/>
        </w:rPr>
        <w:t>Other misc</w:t>
      </w:r>
      <w:r>
        <w:rPr>
          <w:rFonts w:ascii="Cambria" w:hAnsi="Cambria" w:cs="Arial"/>
          <w:color w:val="000000" w:themeColor="text1"/>
          <w:sz w:val="22"/>
        </w:rPr>
        <w:t>ellaneous</w:t>
      </w:r>
      <w:r w:rsidRPr="00464D77">
        <w:rPr>
          <w:rFonts w:ascii="Cambria" w:hAnsi="Cambria" w:cs="Arial"/>
          <w:color w:val="000000" w:themeColor="text1"/>
          <w:sz w:val="22"/>
        </w:rPr>
        <w:t xml:space="preserve"> services which will be required to support integrated PE operations in the blocks </w:t>
      </w:r>
    </w:p>
    <w:p w14:paraId="3D91E866" w14:textId="77777777" w:rsidR="003D5F4D" w:rsidRPr="00464D77" w:rsidRDefault="003D5F4D" w:rsidP="003D5F4D">
      <w:pPr>
        <w:pStyle w:val="NormalWeb"/>
        <w:jc w:val="both"/>
        <w:rPr>
          <w:rFonts w:ascii="Cambria" w:hAnsi="Cambria" w:cs="Arial"/>
          <w:b/>
          <w:color w:val="000000" w:themeColor="text1"/>
          <w:sz w:val="22"/>
          <w:szCs w:val="22"/>
        </w:rPr>
      </w:pPr>
      <w:r w:rsidRPr="00464D77">
        <w:rPr>
          <w:rFonts w:ascii="Cambria" w:hAnsi="Cambria" w:cs="Arial"/>
          <w:b/>
          <w:color w:val="000000" w:themeColor="text1"/>
          <w:sz w:val="22"/>
          <w:szCs w:val="22"/>
        </w:rPr>
        <w:t>Interested companies / consortiums meeting following criteria should respond to this EoI:</w:t>
      </w:r>
    </w:p>
    <w:p w14:paraId="218D5671" w14:textId="77777777" w:rsidR="003D5F4D" w:rsidRPr="00D77B19" w:rsidRDefault="003D5F4D" w:rsidP="003D5F4D">
      <w:pPr>
        <w:pStyle w:val="ListParagraph"/>
        <w:numPr>
          <w:ilvl w:val="0"/>
          <w:numId w:val="2"/>
        </w:numPr>
        <w:jc w:val="both"/>
        <w:rPr>
          <w:rFonts w:ascii="Cambria" w:hAnsi="Cambria" w:cs="Arial"/>
          <w:color w:val="000000" w:themeColor="text1"/>
          <w:sz w:val="22"/>
        </w:rPr>
      </w:pPr>
      <w:r w:rsidRPr="00D77B19">
        <w:rPr>
          <w:rFonts w:ascii="Cambria" w:hAnsi="Cambria" w:cs="Arial"/>
          <w:color w:val="000000" w:themeColor="text1"/>
          <w:sz w:val="22"/>
        </w:rPr>
        <w:t>Contractor shall have a minimum of 05 years (in preceding 10 years) experience each</w:t>
      </w:r>
      <w:r>
        <w:rPr>
          <w:rFonts w:ascii="Cambria" w:hAnsi="Cambria" w:cs="Arial"/>
          <w:color w:val="000000" w:themeColor="text1"/>
          <w:sz w:val="22"/>
        </w:rPr>
        <w:t>,</w:t>
      </w:r>
      <w:r w:rsidRPr="00D77B19">
        <w:rPr>
          <w:rFonts w:ascii="Cambria" w:hAnsi="Cambria" w:cs="Arial"/>
          <w:color w:val="000000" w:themeColor="text1"/>
          <w:sz w:val="22"/>
        </w:rPr>
        <w:t xml:space="preserve"> in providing </w:t>
      </w:r>
      <w:r>
        <w:rPr>
          <w:rFonts w:ascii="Cambria" w:hAnsi="Cambria" w:cs="Arial"/>
          <w:color w:val="000000" w:themeColor="text1"/>
          <w:sz w:val="22"/>
        </w:rPr>
        <w:t xml:space="preserve">5 </w:t>
      </w:r>
      <w:r w:rsidRPr="00D77B19">
        <w:rPr>
          <w:rFonts w:ascii="Cambria" w:hAnsi="Cambria" w:cs="Arial"/>
          <w:color w:val="000000" w:themeColor="text1"/>
          <w:sz w:val="22"/>
        </w:rPr>
        <w:t xml:space="preserve">or more of the following PE services – Workover Rig Services, Completion </w:t>
      </w:r>
      <w:r>
        <w:rPr>
          <w:rFonts w:ascii="Cambria" w:hAnsi="Cambria" w:cs="Arial"/>
          <w:color w:val="000000" w:themeColor="text1"/>
          <w:sz w:val="22"/>
        </w:rPr>
        <w:t>Supply &amp;</w:t>
      </w:r>
      <w:r w:rsidRPr="00D77B19">
        <w:rPr>
          <w:rFonts w:ascii="Cambria" w:hAnsi="Cambria" w:cs="Arial"/>
          <w:color w:val="000000" w:themeColor="text1"/>
          <w:sz w:val="22"/>
        </w:rPr>
        <w:t xml:space="preserve"> Services,</w:t>
      </w:r>
      <w:r>
        <w:rPr>
          <w:rFonts w:ascii="Cambria" w:hAnsi="Cambria" w:cs="Arial"/>
          <w:color w:val="000000" w:themeColor="text1"/>
          <w:sz w:val="22"/>
        </w:rPr>
        <w:t xml:space="preserve"> TCP Services, Completion Fluids, </w:t>
      </w:r>
      <w:r w:rsidRPr="00D77B19">
        <w:rPr>
          <w:rFonts w:ascii="Cambria" w:hAnsi="Cambria" w:cs="Arial"/>
          <w:color w:val="000000" w:themeColor="text1"/>
          <w:sz w:val="22"/>
        </w:rPr>
        <w:t xml:space="preserve">Coiled Tubing </w:t>
      </w:r>
      <w:r>
        <w:rPr>
          <w:rFonts w:ascii="Cambria" w:hAnsi="Cambria" w:cs="Arial"/>
          <w:color w:val="000000" w:themeColor="text1"/>
          <w:sz w:val="22"/>
        </w:rPr>
        <w:t xml:space="preserve">and Pumping </w:t>
      </w:r>
      <w:r w:rsidRPr="00D77B19">
        <w:rPr>
          <w:rFonts w:ascii="Cambria" w:hAnsi="Cambria" w:cs="Arial"/>
          <w:color w:val="000000" w:themeColor="text1"/>
          <w:sz w:val="22"/>
        </w:rPr>
        <w:t>Services, Slickline, Eline</w:t>
      </w:r>
      <w:r>
        <w:rPr>
          <w:rFonts w:ascii="Cambria" w:hAnsi="Cambria" w:cs="Arial"/>
          <w:color w:val="000000" w:themeColor="text1"/>
          <w:sz w:val="22"/>
        </w:rPr>
        <w:t xml:space="preserve"> </w:t>
      </w:r>
      <w:r w:rsidRPr="00D77B19">
        <w:rPr>
          <w:rFonts w:ascii="Cambria" w:hAnsi="Cambria" w:cs="Arial"/>
          <w:color w:val="000000" w:themeColor="text1"/>
          <w:sz w:val="22"/>
        </w:rPr>
        <w:t xml:space="preserve">, </w:t>
      </w:r>
      <w:r>
        <w:rPr>
          <w:rFonts w:ascii="Cambria" w:hAnsi="Cambria" w:cs="Arial"/>
          <w:color w:val="000000" w:themeColor="text1"/>
          <w:sz w:val="22"/>
        </w:rPr>
        <w:t>Surface well Test services,</w:t>
      </w:r>
      <w:r w:rsidRPr="00D77B19">
        <w:rPr>
          <w:rFonts w:ascii="Cambria" w:hAnsi="Cambria" w:cs="Arial"/>
          <w:color w:val="000000" w:themeColor="text1"/>
          <w:sz w:val="22"/>
        </w:rPr>
        <w:t xml:space="preserve"> </w:t>
      </w:r>
      <w:r>
        <w:rPr>
          <w:rFonts w:ascii="Cambria" w:hAnsi="Cambria" w:cs="Arial"/>
          <w:color w:val="000000" w:themeColor="text1"/>
          <w:sz w:val="22"/>
        </w:rPr>
        <w:t>E</w:t>
      </w:r>
      <w:r w:rsidRPr="00D77B19">
        <w:rPr>
          <w:rFonts w:ascii="Cambria" w:hAnsi="Cambria" w:cs="Arial"/>
          <w:color w:val="000000" w:themeColor="text1"/>
          <w:sz w:val="22"/>
        </w:rPr>
        <w:t xml:space="preserve">SP, PCP, SRP/HRP supply and services, on a standalone basis or as a consortium  </w:t>
      </w:r>
    </w:p>
    <w:p w14:paraId="4639E82B" w14:textId="77777777" w:rsidR="003D5F4D" w:rsidRPr="00464D77" w:rsidRDefault="003D5F4D" w:rsidP="003D5F4D">
      <w:pPr>
        <w:pStyle w:val="ListParagraph"/>
        <w:numPr>
          <w:ilvl w:val="0"/>
          <w:numId w:val="2"/>
        </w:numPr>
        <w:jc w:val="both"/>
        <w:rPr>
          <w:rFonts w:ascii="Cambria" w:hAnsi="Cambria" w:cs="Arial"/>
          <w:color w:val="000000" w:themeColor="text1"/>
          <w:sz w:val="22"/>
        </w:rPr>
      </w:pPr>
      <w:r w:rsidRPr="00464D77">
        <w:rPr>
          <w:rFonts w:ascii="Cambria" w:hAnsi="Cambria" w:cs="Arial"/>
          <w:color w:val="000000" w:themeColor="text1"/>
          <w:sz w:val="22"/>
        </w:rPr>
        <w:t xml:space="preserve">Turnover in each of the immediately preceding two financial years should be equal to or more than the estimated average annual contract value. </w:t>
      </w:r>
    </w:p>
    <w:p w14:paraId="368C9F86" w14:textId="77777777" w:rsidR="003D5F4D" w:rsidRPr="00464D77" w:rsidRDefault="003D5F4D" w:rsidP="003D5F4D">
      <w:pPr>
        <w:pStyle w:val="ListParagraph"/>
        <w:numPr>
          <w:ilvl w:val="0"/>
          <w:numId w:val="2"/>
        </w:numPr>
        <w:jc w:val="both"/>
        <w:rPr>
          <w:rFonts w:ascii="Cambria" w:hAnsi="Cambria" w:cs="Arial"/>
          <w:color w:val="000000" w:themeColor="text1"/>
          <w:sz w:val="22"/>
        </w:rPr>
      </w:pPr>
      <w:r w:rsidRPr="00464D77">
        <w:rPr>
          <w:rFonts w:ascii="Cambria" w:hAnsi="Cambria" w:cs="Arial"/>
          <w:color w:val="000000" w:themeColor="text1"/>
          <w:sz w:val="22"/>
        </w:rPr>
        <w:t>Positive net worth in each of the immediately preceding two financial years.</w:t>
      </w:r>
    </w:p>
    <w:p w14:paraId="4BD0B2B8" w14:textId="77777777" w:rsidR="003D5F4D" w:rsidRPr="00464D77" w:rsidRDefault="003D5F4D" w:rsidP="003D5F4D">
      <w:pPr>
        <w:pStyle w:val="ListParagraph"/>
        <w:numPr>
          <w:ilvl w:val="0"/>
          <w:numId w:val="2"/>
        </w:numPr>
        <w:autoSpaceDE w:val="0"/>
        <w:autoSpaceDN w:val="0"/>
        <w:adjustRightInd w:val="0"/>
        <w:spacing w:after="0" w:line="240" w:lineRule="auto"/>
        <w:jc w:val="both"/>
        <w:rPr>
          <w:rFonts w:ascii="Cambria" w:hAnsi="Cambria" w:cs="Arial"/>
          <w:color w:val="000000" w:themeColor="text1"/>
          <w:sz w:val="22"/>
        </w:rPr>
      </w:pPr>
      <w:r w:rsidRPr="00464D77">
        <w:rPr>
          <w:rFonts w:ascii="Cambria" w:hAnsi="Cambria" w:cs="Arial"/>
          <w:color w:val="000000" w:themeColor="text1"/>
          <w:sz w:val="22"/>
        </w:rPr>
        <w:t xml:space="preserve">Liquidity ratio shall not be </w:t>
      </w:r>
      <w:r w:rsidRPr="002F1A9F">
        <w:rPr>
          <w:rFonts w:ascii="Cambria" w:hAnsi="Cambria" w:cs="Arial"/>
          <w:color w:val="000000" w:themeColor="text1"/>
          <w:sz w:val="22"/>
        </w:rPr>
        <w:t>less than 1</w:t>
      </w:r>
      <w:r w:rsidRPr="00464D77">
        <w:rPr>
          <w:rFonts w:ascii="Cambria" w:hAnsi="Cambria" w:cs="Arial"/>
          <w:color w:val="000000" w:themeColor="text1"/>
          <w:sz w:val="22"/>
        </w:rPr>
        <w:t xml:space="preserve"> in each of the preceding Two (02) financial years.</w:t>
      </w:r>
    </w:p>
    <w:p w14:paraId="20650AEC" w14:textId="77777777" w:rsidR="003D5F4D" w:rsidRPr="00464D77" w:rsidRDefault="003D5F4D" w:rsidP="003D5F4D">
      <w:pPr>
        <w:autoSpaceDE w:val="0"/>
        <w:autoSpaceDN w:val="0"/>
        <w:adjustRightInd w:val="0"/>
        <w:jc w:val="both"/>
        <w:rPr>
          <w:rFonts w:ascii="Cambria" w:hAnsi="Cambria" w:cs="Arial"/>
          <w:color w:val="000000" w:themeColor="text1"/>
          <w:szCs w:val="22"/>
        </w:rPr>
      </w:pPr>
    </w:p>
    <w:p w14:paraId="5F60BD8C" w14:textId="77777777" w:rsidR="003D5F4D" w:rsidRPr="00464D77" w:rsidRDefault="003D5F4D" w:rsidP="003D5F4D">
      <w:pPr>
        <w:tabs>
          <w:tab w:val="left" w:pos="1418"/>
          <w:tab w:val="left" w:pos="1701"/>
          <w:tab w:val="right" w:pos="9185"/>
          <w:tab w:val="right" w:pos="9214"/>
        </w:tabs>
        <w:ind w:left="720"/>
        <w:jc w:val="both"/>
        <w:rPr>
          <w:rFonts w:ascii="Cambria" w:eastAsiaTheme="minorHAnsi" w:hAnsi="Cambria" w:cs="Arial"/>
          <w:color w:val="000000" w:themeColor="text1"/>
          <w:szCs w:val="22"/>
          <w:lang w:val="en-IN"/>
        </w:rPr>
      </w:pPr>
      <w:r w:rsidRPr="00464D77">
        <w:rPr>
          <w:rFonts w:ascii="Cambria" w:eastAsiaTheme="minorHAnsi" w:hAnsi="Cambria" w:cs="Arial"/>
          <w:color w:val="000000" w:themeColor="text1"/>
          <w:szCs w:val="22"/>
          <w:lang w:val="en-IN"/>
        </w:rPr>
        <w:t>Note –</w:t>
      </w:r>
    </w:p>
    <w:p w14:paraId="1D549E72" w14:textId="77777777" w:rsidR="003D5F4D" w:rsidRPr="00464D77" w:rsidRDefault="003D5F4D" w:rsidP="003D5F4D">
      <w:pPr>
        <w:tabs>
          <w:tab w:val="left" w:pos="1418"/>
          <w:tab w:val="left" w:pos="1701"/>
          <w:tab w:val="right" w:pos="9185"/>
          <w:tab w:val="right" w:pos="9214"/>
        </w:tabs>
        <w:ind w:left="720"/>
        <w:jc w:val="both"/>
        <w:rPr>
          <w:rFonts w:ascii="Cambria" w:eastAsiaTheme="minorHAnsi" w:hAnsi="Cambria" w:cs="Arial"/>
          <w:color w:val="000000" w:themeColor="text1"/>
          <w:szCs w:val="22"/>
          <w:lang w:val="en-IN"/>
        </w:rPr>
      </w:pPr>
    </w:p>
    <w:p w14:paraId="524F352F" w14:textId="77777777" w:rsidR="003D5F4D" w:rsidRPr="00464D77" w:rsidRDefault="003D5F4D" w:rsidP="003D5F4D">
      <w:pPr>
        <w:numPr>
          <w:ilvl w:val="0"/>
          <w:numId w:val="5"/>
        </w:numPr>
        <w:tabs>
          <w:tab w:val="left" w:pos="1418"/>
          <w:tab w:val="left" w:pos="1701"/>
          <w:tab w:val="right" w:pos="9185"/>
          <w:tab w:val="right" w:pos="9214"/>
        </w:tabs>
        <w:ind w:hanging="180"/>
        <w:jc w:val="both"/>
        <w:rPr>
          <w:rFonts w:ascii="Cambria" w:eastAsiaTheme="minorHAnsi" w:hAnsi="Cambria" w:cs="Arial"/>
          <w:color w:val="000000" w:themeColor="text1"/>
          <w:szCs w:val="22"/>
          <w:lang w:val="en-IN"/>
        </w:rPr>
      </w:pPr>
      <w:r w:rsidRPr="00464D77">
        <w:rPr>
          <w:rFonts w:ascii="Cambria" w:eastAsiaTheme="minorHAnsi" w:hAnsi="Cambria" w:cs="Arial"/>
          <w:color w:val="000000" w:themeColor="text1"/>
          <w:szCs w:val="22"/>
          <w:lang w:val="en-IN"/>
        </w:rPr>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EoI response.</w:t>
      </w:r>
    </w:p>
    <w:p w14:paraId="43B827A3" w14:textId="77777777" w:rsidR="003D5F4D" w:rsidRPr="00464D77" w:rsidRDefault="003D5F4D" w:rsidP="003D5F4D">
      <w:pPr>
        <w:pStyle w:val="ListParagraph"/>
        <w:tabs>
          <w:tab w:val="left" w:pos="1418"/>
          <w:tab w:val="left" w:pos="1701"/>
          <w:tab w:val="right" w:pos="9185"/>
          <w:tab w:val="right" w:pos="9214"/>
        </w:tabs>
        <w:jc w:val="both"/>
        <w:rPr>
          <w:rFonts w:ascii="Cambria" w:hAnsi="Cambria" w:cs="Arial"/>
          <w:color w:val="000000" w:themeColor="text1"/>
          <w:sz w:val="22"/>
        </w:rPr>
      </w:pPr>
    </w:p>
    <w:p w14:paraId="0AD570B5" w14:textId="77777777" w:rsidR="003D5F4D" w:rsidRPr="00464D77" w:rsidRDefault="003D5F4D" w:rsidP="003D5F4D">
      <w:pPr>
        <w:pStyle w:val="ListParagraph"/>
        <w:numPr>
          <w:ilvl w:val="0"/>
          <w:numId w:val="5"/>
        </w:numPr>
        <w:tabs>
          <w:tab w:val="left" w:pos="1418"/>
          <w:tab w:val="left" w:pos="1701"/>
          <w:tab w:val="right" w:pos="9185"/>
          <w:tab w:val="right" w:pos="9214"/>
        </w:tabs>
        <w:jc w:val="both"/>
        <w:rPr>
          <w:rFonts w:ascii="Cambria" w:hAnsi="Cambria" w:cs="Arial"/>
          <w:color w:val="000000" w:themeColor="text1"/>
          <w:sz w:val="22"/>
        </w:rPr>
      </w:pPr>
      <w:r w:rsidRPr="00464D77">
        <w:rPr>
          <w:rFonts w:ascii="Cambria" w:hAnsi="Cambria" w:cs="Arial"/>
          <w:color w:val="000000" w:themeColor="text1"/>
          <w:sz w:val="22"/>
        </w:rPr>
        <w:t>Where the bidding entity is unable to meet the Financial Evaluation Criteria, Parent/Holding Company Audited Financials can be considered, subject to:</w:t>
      </w:r>
    </w:p>
    <w:p w14:paraId="39519716" w14:textId="77777777" w:rsidR="003D5F4D" w:rsidRPr="00464D77" w:rsidRDefault="003D5F4D" w:rsidP="003D5F4D">
      <w:pPr>
        <w:pStyle w:val="ListParagraph"/>
        <w:numPr>
          <w:ilvl w:val="0"/>
          <w:numId w:val="6"/>
        </w:numPr>
        <w:tabs>
          <w:tab w:val="left" w:pos="1418"/>
          <w:tab w:val="left" w:pos="1701"/>
          <w:tab w:val="right" w:pos="9185"/>
          <w:tab w:val="right" w:pos="9214"/>
        </w:tabs>
        <w:jc w:val="both"/>
        <w:rPr>
          <w:rFonts w:ascii="Cambria" w:hAnsi="Cambria" w:cs="Arial"/>
          <w:color w:val="000000" w:themeColor="text1"/>
          <w:sz w:val="22"/>
        </w:rPr>
      </w:pPr>
      <w:r w:rsidRPr="00464D77">
        <w:rPr>
          <w:rFonts w:ascii="Cambria" w:hAnsi="Cambria" w:cs="Arial"/>
          <w:color w:val="000000" w:themeColor="text1"/>
          <w:sz w:val="22"/>
        </w:rPr>
        <w:t xml:space="preserve">Submission of Financial guarantee in the form of 10% Bank guarantee of contract value. </w:t>
      </w:r>
    </w:p>
    <w:p w14:paraId="0A1DFDD6" w14:textId="77777777" w:rsidR="003D5F4D" w:rsidRPr="00464D77" w:rsidRDefault="003D5F4D" w:rsidP="003D5F4D">
      <w:pPr>
        <w:pStyle w:val="ListParagraph"/>
        <w:numPr>
          <w:ilvl w:val="0"/>
          <w:numId w:val="6"/>
        </w:numPr>
        <w:tabs>
          <w:tab w:val="left" w:pos="1418"/>
          <w:tab w:val="left" w:pos="1701"/>
          <w:tab w:val="right" w:pos="9185"/>
          <w:tab w:val="right" w:pos="9214"/>
        </w:tabs>
        <w:jc w:val="both"/>
        <w:rPr>
          <w:rFonts w:ascii="Cambria" w:hAnsi="Cambria" w:cs="Arial"/>
          <w:color w:val="000000" w:themeColor="text1"/>
          <w:sz w:val="22"/>
        </w:rPr>
      </w:pPr>
      <w:r w:rsidRPr="00464D77">
        <w:rPr>
          <w:rFonts w:ascii="Cambria" w:hAnsi="Cambria" w:cs="Arial"/>
          <w:color w:val="000000" w:themeColor="text1"/>
          <w:sz w:val="22"/>
        </w:rPr>
        <w:t>Commitment Letter from Parent/Company to provide financial support to the bidding entity.</w:t>
      </w:r>
    </w:p>
    <w:p w14:paraId="3B9FC239" w14:textId="77777777" w:rsidR="003D5F4D" w:rsidRPr="00464D77" w:rsidRDefault="003D5F4D" w:rsidP="003D5F4D">
      <w:pPr>
        <w:numPr>
          <w:ilvl w:val="0"/>
          <w:numId w:val="5"/>
        </w:numPr>
        <w:tabs>
          <w:tab w:val="left" w:pos="1418"/>
          <w:tab w:val="left" w:pos="1701"/>
          <w:tab w:val="right" w:pos="9185"/>
          <w:tab w:val="right" w:pos="9214"/>
        </w:tabs>
        <w:ind w:hanging="180"/>
        <w:jc w:val="both"/>
        <w:rPr>
          <w:rFonts w:ascii="Cambria" w:eastAsiaTheme="minorHAnsi" w:hAnsi="Cambria" w:cs="Arial"/>
          <w:color w:val="000000" w:themeColor="text1"/>
          <w:szCs w:val="22"/>
          <w:lang w:val="en-IN"/>
        </w:rPr>
      </w:pPr>
      <w:r>
        <w:rPr>
          <w:rFonts w:ascii="Cambria" w:eastAsiaTheme="minorHAnsi" w:hAnsi="Cambria" w:cs="Arial"/>
          <w:color w:val="000000" w:themeColor="text1"/>
          <w:szCs w:val="22"/>
          <w:lang w:val="en-IN"/>
        </w:rPr>
        <w:t>In case of consortium, bidder is required to provide Memorandum of Understanding (MoU) executed by the consortium partner</w:t>
      </w:r>
      <w:r w:rsidRPr="00464D77">
        <w:rPr>
          <w:rFonts w:ascii="Cambria" w:eastAsiaTheme="minorHAnsi" w:hAnsi="Cambria" w:cs="Arial"/>
          <w:color w:val="000000" w:themeColor="text1"/>
          <w:szCs w:val="22"/>
          <w:lang w:val="en-IN"/>
        </w:rPr>
        <w:t>.</w:t>
      </w:r>
      <w:r>
        <w:rPr>
          <w:rFonts w:ascii="Cambria" w:eastAsiaTheme="minorHAnsi" w:hAnsi="Cambria" w:cs="Arial"/>
          <w:color w:val="000000" w:themeColor="text1"/>
          <w:szCs w:val="22"/>
          <w:lang w:val="en-IN"/>
        </w:rPr>
        <w:t xml:space="preserve"> The MoU should indicate the scope of work to be performed by the respective </w:t>
      </w:r>
      <w:r>
        <w:rPr>
          <w:rFonts w:ascii="Cambria" w:eastAsiaTheme="minorHAnsi" w:hAnsi="Cambria" w:cs="Arial"/>
          <w:color w:val="000000" w:themeColor="text1"/>
          <w:szCs w:val="22"/>
          <w:lang w:val="en-IN"/>
        </w:rPr>
        <w:lastRenderedPageBreak/>
        <w:t xml:space="preserve">consortium member expressed as a percentage of  Contract value. Each consortium partner should themselves individually meet the financial evaluation criteria namely, turn over, net worth and liquidity in proportion to the percentage of work to be performed by them. The Performance Bank Guarantee (PBG) will have to be submitted by individual Consortium partners in the ratio of work being performed unless the leader takes responsibility of the complete consortium in which case, Leader can submit PBG for required value. </w:t>
      </w:r>
    </w:p>
    <w:p w14:paraId="7AEAE97B" w14:textId="77777777" w:rsidR="003D5F4D" w:rsidRPr="00464D77" w:rsidRDefault="003D5F4D" w:rsidP="003D5F4D">
      <w:pPr>
        <w:tabs>
          <w:tab w:val="left" w:pos="1418"/>
          <w:tab w:val="left" w:pos="1701"/>
          <w:tab w:val="right" w:pos="9185"/>
          <w:tab w:val="right" w:pos="9214"/>
        </w:tabs>
        <w:ind w:left="720"/>
        <w:jc w:val="both"/>
        <w:rPr>
          <w:rFonts w:ascii="Cambria" w:eastAsiaTheme="minorHAnsi" w:hAnsi="Cambria" w:cs="Arial"/>
          <w:color w:val="000000" w:themeColor="text1"/>
          <w:szCs w:val="22"/>
          <w:lang w:val="en-IN"/>
        </w:rPr>
      </w:pPr>
    </w:p>
    <w:p w14:paraId="210C1FA7" w14:textId="77777777" w:rsidR="003D5F4D" w:rsidRPr="00464D77" w:rsidRDefault="003D5F4D" w:rsidP="003D5F4D">
      <w:pPr>
        <w:numPr>
          <w:ilvl w:val="0"/>
          <w:numId w:val="5"/>
        </w:numPr>
        <w:tabs>
          <w:tab w:val="left" w:pos="1418"/>
          <w:tab w:val="left" w:pos="1701"/>
          <w:tab w:val="right" w:pos="9185"/>
          <w:tab w:val="right" w:pos="9214"/>
        </w:tabs>
        <w:ind w:hanging="180"/>
        <w:jc w:val="both"/>
        <w:rPr>
          <w:rFonts w:ascii="Cambria" w:eastAsiaTheme="minorHAnsi" w:hAnsi="Cambria" w:cs="Arial"/>
          <w:color w:val="000000" w:themeColor="text1"/>
          <w:szCs w:val="22"/>
          <w:lang w:val="en-IN"/>
        </w:rPr>
      </w:pPr>
      <w:r w:rsidRPr="00464D77">
        <w:rPr>
          <w:rFonts w:ascii="Cambria" w:eastAsiaTheme="minorHAnsi" w:hAnsi="Cambria" w:cs="Arial"/>
          <w:color w:val="000000" w:themeColor="text1"/>
          <w:szCs w:val="22"/>
          <w:lang w:val="en-IN"/>
        </w:rPr>
        <w:t>Evaluation will be done only on the basis of the published annual reports / audited financials containing Auditor’s report, Balance sheet, Profit &amp; Loss a/c and Notes to Accounts.</w:t>
      </w:r>
    </w:p>
    <w:p w14:paraId="692708D5" w14:textId="77777777" w:rsidR="003D5F4D" w:rsidRPr="00464D77" w:rsidRDefault="003D5F4D" w:rsidP="003D5F4D">
      <w:pPr>
        <w:tabs>
          <w:tab w:val="left" w:pos="1418"/>
          <w:tab w:val="left" w:pos="1701"/>
          <w:tab w:val="right" w:pos="9185"/>
          <w:tab w:val="right" w:pos="9214"/>
        </w:tabs>
        <w:ind w:left="720"/>
        <w:jc w:val="both"/>
        <w:rPr>
          <w:rFonts w:ascii="Cambria" w:eastAsiaTheme="minorHAnsi" w:hAnsi="Cambria" w:cs="Arial"/>
          <w:color w:val="000000" w:themeColor="text1"/>
          <w:szCs w:val="22"/>
          <w:lang w:val="en-IN"/>
        </w:rPr>
      </w:pPr>
    </w:p>
    <w:p w14:paraId="198AB1F1" w14:textId="77777777" w:rsidR="003D5F4D" w:rsidRDefault="003D5F4D" w:rsidP="003D5F4D">
      <w:pPr>
        <w:numPr>
          <w:ilvl w:val="0"/>
          <w:numId w:val="5"/>
        </w:numPr>
        <w:tabs>
          <w:tab w:val="left" w:pos="1418"/>
          <w:tab w:val="left" w:pos="1701"/>
          <w:tab w:val="right" w:pos="9185"/>
          <w:tab w:val="right" w:pos="9214"/>
        </w:tabs>
        <w:ind w:hanging="180"/>
        <w:jc w:val="both"/>
        <w:rPr>
          <w:rFonts w:ascii="Cambria" w:eastAsiaTheme="minorHAnsi" w:hAnsi="Cambria" w:cs="Arial"/>
          <w:color w:val="000000" w:themeColor="text1"/>
          <w:szCs w:val="22"/>
          <w:lang w:val="en-IN"/>
        </w:rPr>
      </w:pPr>
      <w:r w:rsidRPr="00464D77">
        <w:rPr>
          <w:rFonts w:ascii="Cambria" w:eastAsiaTheme="minorHAnsi" w:hAnsi="Cambria" w:cs="Arial"/>
          <w:color w:val="000000" w:themeColor="text1"/>
          <w:szCs w:val="22"/>
          <w:lang w:val="en-IN"/>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78D926DD" w14:textId="77777777" w:rsidR="003D5F4D" w:rsidRDefault="003D5F4D" w:rsidP="003D5F4D">
      <w:pPr>
        <w:numPr>
          <w:ilvl w:val="0"/>
          <w:numId w:val="5"/>
        </w:numPr>
        <w:tabs>
          <w:tab w:val="left" w:pos="1418"/>
          <w:tab w:val="left" w:pos="1701"/>
          <w:tab w:val="right" w:pos="9185"/>
          <w:tab w:val="right" w:pos="9214"/>
        </w:tabs>
        <w:ind w:hanging="180"/>
        <w:jc w:val="both"/>
        <w:rPr>
          <w:rFonts w:ascii="Cambria" w:eastAsiaTheme="minorHAnsi" w:hAnsi="Cambria" w:cs="Arial"/>
          <w:color w:val="000000" w:themeColor="text1"/>
          <w:szCs w:val="22"/>
          <w:lang w:val="en-IN"/>
        </w:rPr>
      </w:pPr>
      <w:r w:rsidRPr="00B07D6B">
        <w:rPr>
          <w:rFonts w:ascii="Cambria" w:eastAsiaTheme="minorHAnsi" w:hAnsi="Cambria" w:cs="Arial"/>
          <w:color w:val="000000" w:themeColor="text1"/>
          <w:szCs w:val="22"/>
          <w:lang w:val="en-IN"/>
        </w:rPr>
        <w:t>All qualifications and exceptions brought out in Auditor’s report and Notes to Accounts would be factored in while undertaking financial evaluation</w:t>
      </w:r>
    </w:p>
    <w:p w14:paraId="3DB4F4F4" w14:textId="77777777" w:rsidR="003D5F4D" w:rsidRPr="00B07D6B" w:rsidRDefault="003D5F4D" w:rsidP="003D5F4D">
      <w:pPr>
        <w:numPr>
          <w:ilvl w:val="0"/>
          <w:numId w:val="5"/>
        </w:numPr>
        <w:tabs>
          <w:tab w:val="left" w:pos="1418"/>
          <w:tab w:val="left" w:pos="1701"/>
          <w:tab w:val="right" w:pos="9185"/>
          <w:tab w:val="right" w:pos="9214"/>
        </w:tabs>
        <w:ind w:hanging="180"/>
        <w:jc w:val="both"/>
        <w:rPr>
          <w:rFonts w:ascii="Cambria" w:eastAsiaTheme="minorHAnsi" w:hAnsi="Cambria" w:cs="Arial"/>
          <w:color w:val="000000" w:themeColor="text1"/>
          <w:szCs w:val="22"/>
          <w:lang w:val="en-IN"/>
        </w:rPr>
      </w:pPr>
      <w:r>
        <w:rPr>
          <w:rFonts w:ascii="Cambria" w:eastAsiaTheme="minorHAnsi" w:hAnsi="Cambria" w:cs="Arial"/>
          <w:color w:val="000000" w:themeColor="text1"/>
          <w:szCs w:val="22"/>
          <w:lang w:val="en-IN"/>
        </w:rPr>
        <w:t>Latest audited financial statement should not be older than 12 months from the date of EoI.</w:t>
      </w:r>
    </w:p>
    <w:p w14:paraId="62261A77" w14:textId="77777777" w:rsidR="003D5F4D" w:rsidRPr="00464D77" w:rsidRDefault="003D5F4D" w:rsidP="003D5F4D">
      <w:pPr>
        <w:autoSpaceDE w:val="0"/>
        <w:autoSpaceDN w:val="0"/>
        <w:adjustRightInd w:val="0"/>
        <w:jc w:val="both"/>
        <w:rPr>
          <w:rFonts w:ascii="Cambria" w:eastAsiaTheme="minorHAnsi" w:hAnsi="Cambria" w:cs="Arial"/>
          <w:color w:val="000000" w:themeColor="text1"/>
          <w:szCs w:val="22"/>
          <w:lang w:val="en-IN"/>
        </w:rPr>
      </w:pPr>
    </w:p>
    <w:p w14:paraId="6AD241A9" w14:textId="77777777" w:rsidR="003D5F4D" w:rsidRPr="00464D77" w:rsidRDefault="003D5F4D" w:rsidP="003D5F4D">
      <w:pPr>
        <w:ind w:left="360"/>
        <w:jc w:val="both"/>
        <w:rPr>
          <w:rFonts w:ascii="Cambria" w:eastAsiaTheme="minorHAnsi" w:hAnsi="Cambria" w:cs="Arial"/>
          <w:color w:val="000000" w:themeColor="text1"/>
          <w:szCs w:val="22"/>
          <w:lang w:val="en-IN"/>
        </w:rPr>
      </w:pPr>
      <w:r w:rsidRPr="00A37F7C">
        <w:rPr>
          <w:rFonts w:ascii="Cambria" w:eastAsiaTheme="minorHAnsi" w:hAnsi="Cambria" w:cs="Arial"/>
          <w:color w:val="000000" w:themeColor="text1"/>
          <w:szCs w:val="22"/>
          <w:lang w:val="en-IN"/>
        </w:rPr>
        <w:t xml:space="preserve">The interested contractors should evince interest to participate in the Expression of Interest by clicking on the </w:t>
      </w:r>
      <w:r w:rsidRPr="00A37F7C">
        <w:rPr>
          <w:rFonts w:ascii="Cambria" w:eastAsiaTheme="minorHAnsi" w:hAnsi="Cambria" w:cs="Arial"/>
          <w:color w:val="000000" w:themeColor="text1"/>
          <w:szCs w:val="22"/>
          <w:highlight w:val="yellow"/>
          <w:lang w:val="en-IN"/>
        </w:rPr>
        <w:t>“</w:t>
      </w:r>
      <w:hyperlink r:id="rId7" w:history="1">
        <w:r w:rsidRPr="00A37F7C">
          <w:rPr>
            <w:rStyle w:val="Hyperlink"/>
            <w:rFonts w:ascii="Cambria" w:eastAsiaTheme="minorHAnsi" w:hAnsi="Cambria" w:cs="Arial"/>
            <w:color w:val="000000" w:themeColor="text1"/>
            <w:szCs w:val="22"/>
            <w:highlight w:val="yellow"/>
            <w:lang w:val="en-IN"/>
          </w:rPr>
          <w:t>Evince Interest</w:t>
        </w:r>
      </w:hyperlink>
      <w:r w:rsidRPr="00A37F7C">
        <w:rPr>
          <w:rFonts w:ascii="Cambria" w:eastAsiaTheme="minorHAnsi" w:hAnsi="Cambria" w:cs="Arial"/>
          <w:color w:val="000000" w:themeColor="text1"/>
          <w:szCs w:val="22"/>
          <w:highlight w:val="yellow"/>
          <w:lang w:val="en-IN"/>
        </w:rPr>
        <w:t>”</w:t>
      </w:r>
      <w:r w:rsidRPr="00A37F7C">
        <w:rPr>
          <w:rFonts w:ascii="Cambria" w:eastAsiaTheme="minorHAnsi" w:hAnsi="Cambria" w:cs="Arial"/>
          <w:color w:val="000000" w:themeColor="text1"/>
          <w:szCs w:val="22"/>
          <w:lang w:val="en-IN"/>
        </w:rPr>
        <w:t xml:space="preserve"> link for the corresponding EoI listing on the Cairn Website i.e. </w:t>
      </w:r>
      <w:hyperlink r:id="rId8" w:history="1">
        <w:r w:rsidRPr="00A37F7C">
          <w:rPr>
            <w:rStyle w:val="Hyperlink"/>
            <w:rFonts w:ascii="Cambria" w:hAnsi="Cambria" w:cs="Arial"/>
            <w:color w:val="000000" w:themeColor="text1"/>
            <w:szCs w:val="22"/>
            <w:lang w:val="en-IN"/>
          </w:rPr>
          <w:t>http://www.cairnindia.com</w:t>
        </w:r>
      </w:hyperlink>
      <w:r w:rsidRPr="00A37F7C">
        <w:rPr>
          <w:rFonts w:ascii="Cambria" w:eastAsiaTheme="minorHAnsi" w:hAnsi="Cambria" w:cs="Arial"/>
          <w:color w:val="000000" w:themeColor="text1"/>
          <w:szCs w:val="22"/>
          <w:lang w:val="en-IN"/>
        </w:rPr>
        <w:t xml:space="preserve"> and submit their contact details online</w:t>
      </w:r>
      <w:r>
        <w:rPr>
          <w:rFonts w:ascii="Cambria" w:eastAsiaTheme="minorHAnsi" w:hAnsi="Cambria" w:cs="Arial"/>
          <w:color w:val="000000" w:themeColor="text1"/>
          <w:szCs w:val="22"/>
          <w:lang w:val="en-IN"/>
        </w:rPr>
        <w:t xml:space="preserve"> within 14 days from the date of publishing of this EoI</w:t>
      </w:r>
      <w:r w:rsidRPr="00A37F7C">
        <w:rPr>
          <w:rFonts w:ascii="Cambria" w:eastAsiaTheme="minorHAnsi" w:hAnsi="Cambria" w:cs="Arial"/>
          <w:color w:val="000000" w:themeColor="text1"/>
          <w:szCs w:val="22"/>
          <w:lang w:val="en-IN"/>
        </w:rPr>
        <w:t xml:space="preserve">. Further to this, interested contractors would be invited to </w:t>
      </w:r>
      <w:r>
        <w:rPr>
          <w:rFonts w:ascii="Cambria" w:eastAsiaTheme="minorHAnsi" w:hAnsi="Cambria" w:cs="Arial"/>
          <w:color w:val="000000" w:themeColor="text1"/>
          <w:szCs w:val="22"/>
          <w:lang w:val="en-IN"/>
        </w:rPr>
        <w:t>participate in the tender</w:t>
      </w:r>
      <w:r w:rsidRPr="00A37F7C">
        <w:rPr>
          <w:rFonts w:ascii="Cambria" w:eastAsiaTheme="minorHAnsi" w:hAnsi="Cambria" w:cs="Arial"/>
          <w:color w:val="000000" w:themeColor="text1"/>
          <w:szCs w:val="22"/>
          <w:lang w:val="en-IN"/>
        </w:rPr>
        <w:t xml:space="preserve"> via Smart Source (Cairn’s e Sourcing Platform)..</w:t>
      </w:r>
    </w:p>
    <w:p w14:paraId="1F2DE8F5" w14:textId="77777777" w:rsidR="006075CE" w:rsidRDefault="006075CE"/>
    <w:sectPr w:rsidR="006075CE" w:rsidSect="00FE46DD">
      <w:headerReference w:type="even" r:id="rId9"/>
      <w:headerReference w:type="default" r:id="rId10"/>
      <w:footerReference w:type="even" r:id="rId11"/>
      <w:footerReference w:type="default" r:id="rId12"/>
      <w:headerReference w:type="first" r:id="rId13"/>
      <w:footerReference w:type="first" r:id="rId14"/>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DC774" w14:textId="77777777" w:rsidR="0082044E" w:rsidRDefault="0082044E" w:rsidP="00CD1B39">
      <w:r>
        <w:separator/>
      </w:r>
    </w:p>
  </w:endnote>
  <w:endnote w:type="continuationSeparator" w:id="0">
    <w:p w14:paraId="20E8CF56" w14:textId="77777777" w:rsidR="0082044E" w:rsidRDefault="0082044E"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6197A" w14:textId="77777777" w:rsidR="004D4DC9" w:rsidRDefault="004D4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1BD29" w14:textId="77777777" w:rsidR="00044A53" w:rsidRPr="00846AE8" w:rsidRDefault="003D5F4D">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18651E6E" wp14:editId="7A4D313C">
              <wp:simplePos x="0" y="0"/>
              <wp:positionH relativeFrom="page">
                <wp:posOffset>0</wp:posOffset>
              </wp:positionH>
              <wp:positionV relativeFrom="page">
                <wp:posOffset>9601200</wp:posOffset>
              </wp:positionV>
              <wp:extent cx="7772400" cy="266700"/>
              <wp:effectExtent l="0" t="0" r="0" b="0"/>
              <wp:wrapNone/>
              <wp:docPr id="1" name="MSIPCMb45a4dd79884ed32bb5f1320"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6B6E1" w14:textId="77777777" w:rsidR="003D5F4D" w:rsidRPr="003D5F4D" w:rsidRDefault="003D5F4D" w:rsidP="003D5F4D">
                          <w:pPr>
                            <w:jc w:val="center"/>
                            <w:rPr>
                              <w:rFonts w:ascii="Calibri" w:hAnsi="Calibri" w:cs="Calibri"/>
                              <w:color w:val="737373"/>
                              <w:sz w:val="12"/>
                            </w:rPr>
                          </w:pPr>
                          <w:r w:rsidRPr="003D5F4D">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45a4dd79884ed32bb5f1320" o:spid="_x0000_s1026"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" o:allowincell="f" filled="f" stroked="f" strokeweight=".5pt">
              <v:fill o:detectmouseclick="t"/>
              <v:textbox inset=",0,,0">
                <w:txbxContent>
                  <w:p w:rsidR="003D5F4D" w:rsidRPr="003D5F4D" w:rsidRDefault="003D5F4D" w:rsidP="003D5F4D">
                    <w:pPr>
                      <w:jc w:val="center"/>
                      <w:rPr>
                        <w:rFonts w:ascii="Calibri" w:hAnsi="Calibri" w:cs="Calibri"/>
                        <w:color w:val="737373"/>
                        <w:sz w:val="12"/>
                      </w:rPr>
                    </w:pPr>
                    <w:r w:rsidRPr="003D5F4D">
                      <w:rPr>
                        <w:rFonts w:ascii="Calibri" w:hAnsi="Calibri" w:cs="Calibri"/>
                        <w:color w:val="737373"/>
                        <w:sz w:val="12"/>
                      </w:rPr>
                      <w:t>Sensitivity: Internal (C3)</w:t>
                    </w:r>
                  </w:p>
                </w:txbxContent>
              </v:textbox>
              <w10:wrap anchorx="page" anchory="page"/>
            </v:shape>
          </w:pict>
        </mc:Fallback>
      </mc:AlternateContent>
    </w:r>
    <w:r w:rsidR="00EA09E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E8994" w14:textId="77777777" w:rsidR="004D4DC9" w:rsidRDefault="004D4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54244" w14:textId="77777777" w:rsidR="0082044E" w:rsidRDefault="0082044E" w:rsidP="00CD1B39">
      <w:r>
        <w:separator/>
      </w:r>
    </w:p>
  </w:footnote>
  <w:footnote w:type="continuationSeparator" w:id="0">
    <w:p w14:paraId="1BCBC633" w14:textId="77777777" w:rsidR="0082044E" w:rsidRDefault="0082044E"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30FF" w14:textId="77777777" w:rsidR="004D4DC9" w:rsidRDefault="004D4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576A" w14:textId="77777777" w:rsidR="00CD1B39" w:rsidRPr="00671072" w:rsidRDefault="00CD1B39" w:rsidP="00CD1B39">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7E330410" wp14:editId="062FE269">
          <wp:extent cx="2028825" cy="6516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Pr>
        <w:rFonts w:asciiTheme="majorHAnsi" w:hAnsiTheme="majorHAnsi"/>
        <w:noProof/>
        <w:szCs w:val="22"/>
        <w:lang w:val="en-US"/>
      </w:rPr>
      <w:t xml:space="preserve">                                                                                                         </w:t>
    </w:r>
    <w:r w:rsidRPr="00671072">
      <w:rPr>
        <w:rFonts w:asciiTheme="majorHAnsi" w:hAnsiTheme="majorHAnsi"/>
        <w:noProof/>
        <w:szCs w:val="22"/>
        <w:lang w:val="en-US"/>
      </w:rPr>
      <w:drawing>
        <wp:inline distT="0" distB="0" distL="0" distR="0" wp14:anchorId="760D8EB6" wp14:editId="0128E1A5">
          <wp:extent cx="913912" cy="435196"/>
          <wp:effectExtent l="0" t="0" r="635" b="3175"/>
          <wp:docPr id="5"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14:paraId="5F917A7D" w14:textId="77777777" w:rsidR="00CD1B39" w:rsidRDefault="00CD1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34ECC" w14:textId="77777777" w:rsidR="004D4DC9" w:rsidRDefault="004D4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29A08CC"/>
    <w:multiLevelType w:val="hybridMultilevel"/>
    <w:tmpl w:val="6FC69E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39"/>
    <w:rsid w:val="00176658"/>
    <w:rsid w:val="002B473A"/>
    <w:rsid w:val="003A0078"/>
    <w:rsid w:val="003D5F4D"/>
    <w:rsid w:val="004D4DC9"/>
    <w:rsid w:val="005A2D04"/>
    <w:rsid w:val="005A356F"/>
    <w:rsid w:val="006075CE"/>
    <w:rsid w:val="0082044E"/>
    <w:rsid w:val="00CD1B39"/>
    <w:rsid w:val="00EA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40951"/>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rnindia.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file://cildelvwinvnx01/Document/2017-2018/01.%20SERVICES/01.%20RAJASTHAN/RJ-%20Sheetal/In%20Progress/6000004288%20Lighting%20and%20earting%20manpower%20for%20MPT%20and%20RGT/TC%20Papers/Procurement%20Execution%20Strategy/Evince%20Interest"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2020-12-30T18:30:00+00:00</StartDate>
    <PublisherEmailID xmlns="6b02143d-c076-4788-b315-b1d4ff2ff2ad">Yahappa.RajanS@cairnindia.com;nivesh.singhal@cairnindia.com</PublisherEmailID>
    <Status xmlns="6b02143d-c076-4788-b315-b1d4ff2ff2ad">Published</Status>
    <PublisherName xmlns="6b02143d-c076-4788-b315-b1d4ff2ff2ad">Yahappa Rajan;Nivesh singhal</PublisherName>
    <EndDate xmlns="6b02143d-c076-4788-b315-b1d4ff2ff2ad">2021-01-14T18:25:00+00:00</EndDate>
    <EvinceInterestURL xmlns="78439af1-28f1-4ee5-8d5a-af7253c94f97" xsi:nil="true"/>
  </documentManagement>
</p:properties>
</file>

<file path=customXml/itemProps1.xml><?xml version="1.0" encoding="utf-8"?>
<ds:datastoreItem xmlns:ds="http://schemas.openxmlformats.org/officeDocument/2006/customXml" ds:itemID="{53A807BB-EF17-4094-A9E6-2A5706F1A6CA}"/>
</file>

<file path=customXml/itemProps2.xml><?xml version="1.0" encoding="utf-8"?>
<ds:datastoreItem xmlns:ds="http://schemas.openxmlformats.org/officeDocument/2006/customXml" ds:itemID="{221807DB-236D-4629-9E84-6ACB88683F8E}"/>
</file>

<file path=customXml/itemProps3.xml><?xml version="1.0" encoding="utf-8"?>
<ds:datastoreItem xmlns:ds="http://schemas.openxmlformats.org/officeDocument/2006/customXml" ds:itemID="{C49AB581-2864-471D-8C4C-ACD81FCE4229}"/>
</file>

<file path=docProps/app.xml><?xml version="1.0" encoding="utf-8"?>
<Properties xmlns="http://schemas.openxmlformats.org/officeDocument/2006/extended-properties" xmlns:vt="http://schemas.openxmlformats.org/officeDocument/2006/docPropsVTypes">
  <Template>Normal</Template>
  <TotalTime>6</TotalTime>
  <Pages>1</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EXPRESSION OF INTEREST (EoI) UNDER INTERNATIONAL COMPETETIVE BIDDING (ICB) BASIS FOR PROVISION OF INTEGRATED PETROLEUM ENGINEERING SERVICES FOR RAJASTHAN BLOCK:  RJ-ON-90/1</dc:title>
  <dc:subject/>
  <dc:creator>Aarthi Kumar</dc:creator>
  <cp:keywords/>
  <dc:description/>
  <cp:lastModifiedBy>Yahappa Rajan</cp:lastModifiedBy>
  <cp:revision>7</cp:revision>
  <dcterms:created xsi:type="dcterms:W3CDTF">2020-12-30T10:58:00Z</dcterms:created>
  <dcterms:modified xsi:type="dcterms:W3CDTF">2020-12-30T12:41:00Z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12930@cairnindia.com</vt:lpwstr>
  </property>
  <property fmtid="{D5CDD505-2E9C-101B-9397-08002B2CF9AE}" pid="5" name="MSIP_Label_d8018b01-d6ca-4215-a70f-0f507ff65fa4_SetDate">
    <vt:lpwstr>2020-12-30T10:58:09.1664124Z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64568318-e709-4e10-b18c-7a399cd3de68</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12930@cairnindia.com</vt:lpwstr>
  </property>
  <property fmtid="{D5CDD505-2E9C-101B-9397-08002B2CF9AE}" pid="13" name="MSIP_Label_1a837f0f-bc33-47ca-8126-9d7bb0fbe56f_SetDate">
    <vt:lpwstr>2020-12-30T10:58:09.1664124Z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64568318-e709-4e10-b18c-7a399cd3de68</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